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80CF2" w14:textId="72656DB3" w:rsidR="00A03632" w:rsidRDefault="00016055">
      <w:r>
        <w:rPr>
          <w:rFonts w:ascii="Verdana" w:hAnsi="Verdana"/>
          <w:color w:val="000000"/>
          <w:sz w:val="17"/>
          <w:szCs w:val="17"/>
          <w:shd w:val="clear" w:color="auto" w:fill="FFFFFF"/>
        </w:rPr>
        <w:t>Career field is Immigration and customs inspector/ CBP Officer.  Describe a situation in which the Watchman style of policing would be used in the career field. Explain what you can infer about the organizational and political culture of the agency based on the Watchman style. Describe a situation in which the Legalistic style of policing would be used in the career field. Explain what you can infer about the organizational and political culture of the agency based on the Legalistic style. Describe a situation in which the Service style of policing would be used in the career field. Explain what you can infer about the organizational and political culture of the agency based on the Service style.</w:t>
      </w:r>
    </w:p>
    <w:sectPr w:rsidR="00A03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055"/>
    <w:rsid w:val="00016055"/>
    <w:rsid w:val="00A0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6F7A"/>
  <w15:chartTrackingRefBased/>
  <w15:docId w15:val="{D89A9F45-F9AD-4224-952F-5E74586F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2022-07-10T15:15:00Z</dcterms:created>
  <dcterms:modified xsi:type="dcterms:W3CDTF">2022-07-10T15:15:00Z</dcterms:modified>
</cp:coreProperties>
</file>