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764A5" w14:textId="45797364" w:rsidR="00903C18" w:rsidRDefault="002B2396">
      <w:r>
        <w:rPr>
          <w:rFonts w:ascii="Verdana" w:hAnsi="Verdana"/>
          <w:color w:val="000000"/>
          <w:sz w:val="17"/>
          <w:szCs w:val="17"/>
          <w:shd w:val="clear" w:color="auto" w:fill="FFFFFF"/>
        </w:rPr>
        <w:t xml:space="preserve">Kan Enterprises: Accounting, Control, Management Decision? Making, and Performance in a Newly-Acquired Business. You need to work with the case titled “Kan Enterprises: Accounting, Control, Management Decision???Making, and Performance in a Newly-Acquired Business”. You need to present your answers based on the case questions which is available within the case itself. Present your answers in a report (Pdf or Word format with supporting excel file). Prior to the answer preparation it is expected that you have; - Completed brainstorming sessions to develop a list of structure ways on how to attempt the case. - Discuss the ideas by taking into account some managerial experiences either you’re your own working experience or related management courses previously attended - Done substantive research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internet, references etc. on the answer. The outcome of the report should be presented with the same care and attention as any professional business report. The report should be clean, neat, concise and without grammatical or spelling errors. To keep the submission of report consistent, the submission must adhere to the printing criteria below. Font: Arial </w:t>
      </w:r>
      <w:proofErr w:type="gramStart"/>
      <w:r>
        <w:rPr>
          <w:rFonts w:ascii="Verdana" w:hAnsi="Verdana"/>
          <w:color w:val="000000"/>
          <w:sz w:val="17"/>
          <w:szCs w:val="17"/>
          <w:shd w:val="clear" w:color="auto" w:fill="FFFFFF"/>
        </w:rPr>
        <w:t>11 point</w:t>
      </w:r>
      <w:proofErr w:type="gramEnd"/>
      <w:r>
        <w:rPr>
          <w:rFonts w:ascii="Verdana" w:hAnsi="Verdana"/>
          <w:color w:val="000000"/>
          <w:sz w:val="17"/>
          <w:szCs w:val="17"/>
          <w:shd w:val="clear" w:color="auto" w:fill="FFFFFF"/>
        </w:rPr>
        <w:t xml:space="preserve"> (Spreadsheet exhibits can be as small as 9 point) Margins: 1 inch (2.5 cm) all around Page Size: A4 (Spreadsheet exhibits can fold-out on ledger-size (17"x11") paper) Spacing: Double, except Appendices and Exhibits Number of Pages: must not exceed than 20 pages</w:t>
      </w:r>
    </w:p>
    <w:sectPr w:rsidR="00903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396"/>
    <w:rsid w:val="002B2396"/>
    <w:rsid w:val="0090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67542"/>
  <w15:chartTrackingRefBased/>
  <w15:docId w15:val="{D9AA35BE-1EA4-4CAB-923B-77CDDA71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2022-06-03T20:15:00Z</dcterms:created>
  <dcterms:modified xsi:type="dcterms:W3CDTF">2022-06-03T20:15:00Z</dcterms:modified>
</cp:coreProperties>
</file>