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A478F" w14:textId="77777777" w:rsidR="0001267C" w:rsidRDefault="0001267C" w:rsidP="0001267C">
      <w:pPr>
        <w:rPr>
          <w:b/>
          <w:bCs/>
          <w:color w:val="006600"/>
          <w:sz w:val="26"/>
          <w:szCs w:val="26"/>
        </w:rPr>
      </w:pPr>
      <w:r>
        <w:rPr>
          <w:b/>
          <w:bCs/>
          <w:color w:val="006600"/>
          <w:sz w:val="26"/>
          <w:szCs w:val="26"/>
        </w:rPr>
        <w:t>Instructions for assessment</w:t>
      </w:r>
    </w:p>
    <w:p w14:paraId="27A828AB" w14:textId="77777777" w:rsidR="0001267C" w:rsidRDefault="0001267C" w:rsidP="0001267C">
      <w:pPr>
        <w:snapToGrid w:val="0"/>
        <w:rPr>
          <w:b/>
          <w:bCs/>
          <w:color w:val="006600"/>
          <w:sz w:val="26"/>
          <w:szCs w:val="26"/>
        </w:rPr>
      </w:pPr>
    </w:p>
    <w:p w14:paraId="792CFB4A" w14:textId="77777777" w:rsidR="0001267C" w:rsidRDefault="0001267C" w:rsidP="0001267C">
      <w:pPr>
        <w:snapToGrid w:val="0"/>
        <w:rPr>
          <w:rFonts w:eastAsia="Arial" w:cs="Arial"/>
          <w:bCs/>
          <w:spacing w:val="-1"/>
        </w:rPr>
      </w:pPr>
      <w:r>
        <w:rPr>
          <w:rFonts w:eastAsia="Arial" w:cs="Arial"/>
          <w:bCs/>
          <w:spacing w:val="-1"/>
        </w:rPr>
        <w:t>Akzo Nobel plans to open a new factory in the UK. The cost of building new factory is £100 million:</w:t>
      </w:r>
    </w:p>
    <w:p w14:paraId="4DB1378C" w14:textId="77777777" w:rsidR="0001267C" w:rsidRDefault="0001267C" w:rsidP="0001267C">
      <w:pPr>
        <w:snapToGrid w:val="0"/>
        <w:rPr>
          <w:rFonts w:eastAsia="Arial" w:cs="Arial"/>
          <w:bCs/>
          <w:spacing w:val="-1"/>
        </w:rPr>
      </w:pPr>
    </w:p>
    <w:p w14:paraId="22ACE4D5" w14:textId="77777777" w:rsidR="0001267C" w:rsidRDefault="0001267C" w:rsidP="0001267C">
      <w:pPr>
        <w:snapToGrid w:val="0"/>
        <w:rPr>
          <w:rFonts w:eastAsia="Arial" w:cs="Arial"/>
          <w:bCs/>
          <w:spacing w:val="-1"/>
        </w:rPr>
      </w:pPr>
      <w:r>
        <w:rPr>
          <w:rFonts w:eastAsia="Arial" w:cs="Arial"/>
          <w:bCs/>
          <w:spacing w:val="-1"/>
        </w:rPr>
        <w:t>1. Describe the mechanism of direct and indirect finances available to Akzo Nobel? Which one do you think will be preferred? And why?</w:t>
      </w:r>
    </w:p>
    <w:p w14:paraId="5DD3733A" w14:textId="77777777" w:rsidR="0001267C" w:rsidRDefault="0001267C" w:rsidP="0001267C">
      <w:pPr>
        <w:snapToGrid w:val="0"/>
        <w:jc w:val="right"/>
        <w:rPr>
          <w:rFonts w:eastAsia="Arial" w:cs="Arial"/>
          <w:bCs/>
          <w:spacing w:val="-1"/>
        </w:rPr>
      </w:pPr>
      <w:r>
        <w:rPr>
          <w:rFonts w:eastAsia="Arial" w:cs="Arial"/>
          <w:bCs/>
          <w:spacing w:val="-1"/>
        </w:rPr>
        <w:t>[10 marks]</w:t>
      </w:r>
    </w:p>
    <w:p w14:paraId="13F86C96" w14:textId="77777777" w:rsidR="0001267C" w:rsidRDefault="0001267C" w:rsidP="0001267C">
      <w:pPr>
        <w:snapToGrid w:val="0"/>
        <w:rPr>
          <w:rFonts w:eastAsia="Arial" w:cs="Arial"/>
          <w:bCs/>
          <w:spacing w:val="-1"/>
        </w:rPr>
      </w:pPr>
    </w:p>
    <w:p w14:paraId="3C6A7B47" w14:textId="77777777" w:rsidR="0001267C" w:rsidRDefault="0001267C" w:rsidP="0001267C">
      <w:pPr>
        <w:snapToGrid w:val="0"/>
        <w:rPr>
          <w:rFonts w:eastAsia="Arial" w:cs="Arial"/>
          <w:bCs/>
          <w:spacing w:val="-1"/>
        </w:rPr>
      </w:pPr>
      <w:r>
        <w:rPr>
          <w:rFonts w:eastAsia="Arial" w:cs="Arial"/>
          <w:bCs/>
          <w:spacing w:val="-1"/>
        </w:rPr>
        <w:t>2. Describe the types of financial intermediaries that can help Akzo Nobel to finance new factory? Are there any differences in the way they can provide financing?</w:t>
      </w:r>
    </w:p>
    <w:p w14:paraId="5C0822E4" w14:textId="77777777" w:rsidR="0001267C" w:rsidRDefault="0001267C" w:rsidP="0001267C">
      <w:pPr>
        <w:snapToGrid w:val="0"/>
        <w:jc w:val="right"/>
        <w:rPr>
          <w:rFonts w:eastAsia="Arial" w:cs="Arial"/>
          <w:bCs/>
          <w:spacing w:val="-1"/>
        </w:rPr>
      </w:pPr>
      <w:r>
        <w:rPr>
          <w:rFonts w:eastAsia="Arial" w:cs="Arial"/>
          <w:bCs/>
          <w:spacing w:val="-1"/>
        </w:rPr>
        <w:t>[15 marks]</w:t>
      </w:r>
    </w:p>
    <w:p w14:paraId="3F2F6556" w14:textId="77777777" w:rsidR="0001267C" w:rsidRDefault="0001267C" w:rsidP="0001267C">
      <w:pPr>
        <w:snapToGrid w:val="0"/>
        <w:rPr>
          <w:rFonts w:eastAsia="Arial" w:cs="Arial"/>
          <w:bCs/>
          <w:spacing w:val="-1"/>
        </w:rPr>
      </w:pPr>
    </w:p>
    <w:p w14:paraId="184F6C49" w14:textId="77777777" w:rsidR="0001267C" w:rsidRDefault="0001267C" w:rsidP="0001267C">
      <w:pPr>
        <w:snapToGrid w:val="0"/>
        <w:rPr>
          <w:rFonts w:eastAsia="Arial" w:cs="Arial"/>
          <w:bCs/>
          <w:spacing w:val="-1"/>
        </w:rPr>
      </w:pPr>
    </w:p>
    <w:p w14:paraId="39F9F068" w14:textId="77777777" w:rsidR="0001267C" w:rsidRDefault="0001267C" w:rsidP="0001267C">
      <w:pPr>
        <w:snapToGrid w:val="0"/>
        <w:rPr>
          <w:rFonts w:eastAsia="Arial" w:cs="Arial"/>
          <w:bCs/>
          <w:spacing w:val="-1"/>
        </w:rPr>
      </w:pPr>
      <w:r>
        <w:rPr>
          <w:rFonts w:eastAsia="Arial" w:cs="Arial"/>
          <w:bCs/>
          <w:spacing w:val="-1"/>
        </w:rPr>
        <w:t xml:space="preserve">3. Which exchange does Akzo Nobel use to issue shares for </w:t>
      </w:r>
      <w:r>
        <w:t>raising capital</w:t>
      </w:r>
      <w:r>
        <w:rPr>
          <w:rFonts w:eastAsia="Arial" w:cs="Arial"/>
          <w:bCs/>
          <w:spacing w:val="-1"/>
        </w:rPr>
        <w:t>? (</w:t>
      </w:r>
      <w:proofErr w:type="gramStart"/>
      <w:r>
        <w:rPr>
          <w:rFonts w:eastAsia="Arial" w:cs="Arial"/>
          <w:bCs/>
          <w:spacing w:val="-1"/>
        </w:rPr>
        <w:t>examine</w:t>
      </w:r>
      <w:proofErr w:type="gramEnd"/>
      <w:r>
        <w:rPr>
          <w:rFonts w:eastAsia="Arial" w:cs="Arial"/>
          <w:bCs/>
          <w:spacing w:val="-1"/>
        </w:rPr>
        <w:t xml:space="preserve"> Investor relations website </w:t>
      </w:r>
      <w:hyperlink r:id="rId5" w:history="1">
        <w:r>
          <w:rPr>
            <w:rStyle w:val="Hyperlink"/>
            <w:rFonts w:eastAsia="Arial" w:cs="Arial"/>
            <w:bCs/>
            <w:color w:val="auto"/>
            <w:spacing w:val="-1"/>
            <w:u w:val="none"/>
          </w:rPr>
          <w:t>https://www.akzonobel.com/en/for-investors/for-investors-overview</w:t>
        </w:r>
      </w:hyperlink>
      <w:r>
        <w:rPr>
          <w:rFonts w:eastAsia="Arial" w:cs="Arial"/>
          <w:bCs/>
          <w:spacing w:val="-1"/>
        </w:rPr>
        <w:t xml:space="preserve">). How big was </w:t>
      </w:r>
      <w:r>
        <w:t>capital raised</w:t>
      </w:r>
      <w:r>
        <w:rPr>
          <w:rFonts w:eastAsia="Arial" w:cs="Arial"/>
          <w:bCs/>
          <w:spacing w:val="-1"/>
        </w:rPr>
        <w:t>? What is shares buyback, and what are the reasons behind a buyback?</w:t>
      </w:r>
    </w:p>
    <w:p w14:paraId="44888EFC" w14:textId="77777777" w:rsidR="0001267C" w:rsidRDefault="0001267C" w:rsidP="0001267C">
      <w:pPr>
        <w:snapToGrid w:val="0"/>
        <w:jc w:val="right"/>
        <w:rPr>
          <w:rFonts w:eastAsia="Arial" w:cs="Arial"/>
          <w:bCs/>
          <w:spacing w:val="-1"/>
        </w:rPr>
      </w:pPr>
      <w:r>
        <w:rPr>
          <w:rFonts w:eastAsia="Arial" w:cs="Arial"/>
          <w:bCs/>
          <w:spacing w:val="-1"/>
        </w:rPr>
        <w:t>[15 marks]</w:t>
      </w:r>
    </w:p>
    <w:p w14:paraId="45E24525" w14:textId="77777777" w:rsidR="0001267C" w:rsidRDefault="0001267C" w:rsidP="0001267C">
      <w:pPr>
        <w:snapToGrid w:val="0"/>
        <w:rPr>
          <w:rFonts w:eastAsia="Arial" w:cs="Arial"/>
          <w:bCs/>
          <w:spacing w:val="-1"/>
        </w:rPr>
      </w:pPr>
    </w:p>
    <w:p w14:paraId="14836FFD" w14:textId="77777777" w:rsidR="0001267C" w:rsidRDefault="0001267C" w:rsidP="0001267C">
      <w:pPr>
        <w:snapToGrid w:val="0"/>
        <w:rPr>
          <w:rFonts w:eastAsia="Arial" w:cs="Arial"/>
          <w:bCs/>
          <w:spacing w:val="-1"/>
        </w:rPr>
      </w:pPr>
      <w:r>
        <w:rPr>
          <w:rFonts w:eastAsia="Arial" w:cs="Arial"/>
          <w:bCs/>
          <w:spacing w:val="-1"/>
        </w:rPr>
        <w:t xml:space="preserve">4. What is the price of Akzo Nobels 1.625% annual coupon bond with maturity on April 2030 and required rate 1%, face value 1000 EUR? Show your calculations. What is a range for ratings of existing Akzo Nobel bonds (AAA, Abb, etc)? Is there any collateral for the bonds? Should the company issue </w:t>
      </w:r>
      <w:proofErr w:type="gramStart"/>
      <w:r>
        <w:rPr>
          <w:rFonts w:eastAsia="Arial" w:cs="Arial"/>
          <w:bCs/>
          <w:spacing w:val="-1"/>
        </w:rPr>
        <w:t>bonds</w:t>
      </w:r>
      <w:proofErr w:type="gramEnd"/>
      <w:r>
        <w:rPr>
          <w:rFonts w:eastAsia="Arial" w:cs="Arial"/>
          <w:bCs/>
          <w:spacing w:val="-1"/>
        </w:rPr>
        <w:t xml:space="preserve"> or stocks (explain your reasons)?</w:t>
      </w:r>
    </w:p>
    <w:p w14:paraId="116C04B2" w14:textId="77777777" w:rsidR="0001267C" w:rsidRDefault="0001267C" w:rsidP="0001267C">
      <w:pPr>
        <w:snapToGrid w:val="0"/>
        <w:jc w:val="right"/>
        <w:rPr>
          <w:rFonts w:eastAsia="Arial" w:cs="Arial"/>
          <w:bCs/>
          <w:spacing w:val="-1"/>
        </w:rPr>
      </w:pPr>
      <w:r>
        <w:rPr>
          <w:rFonts w:eastAsia="Arial" w:cs="Arial"/>
          <w:bCs/>
          <w:spacing w:val="-1"/>
        </w:rPr>
        <w:t>[20 marks]</w:t>
      </w:r>
    </w:p>
    <w:p w14:paraId="77FCD496" w14:textId="77777777" w:rsidR="0001267C" w:rsidRDefault="0001267C" w:rsidP="0001267C">
      <w:pPr>
        <w:snapToGrid w:val="0"/>
        <w:rPr>
          <w:rFonts w:eastAsia="Arial" w:cs="Arial"/>
          <w:bCs/>
          <w:spacing w:val="-1"/>
        </w:rPr>
      </w:pPr>
    </w:p>
    <w:p w14:paraId="397479FA" w14:textId="77777777" w:rsidR="0001267C" w:rsidRDefault="0001267C" w:rsidP="0001267C">
      <w:pPr>
        <w:snapToGrid w:val="0"/>
        <w:rPr>
          <w:rFonts w:eastAsia="Arial" w:cs="Arial"/>
          <w:bCs/>
          <w:spacing w:val="-1"/>
        </w:rPr>
      </w:pPr>
      <w:r>
        <w:rPr>
          <w:rFonts w:eastAsia="Arial" w:cs="Arial"/>
          <w:bCs/>
          <w:spacing w:val="-1"/>
        </w:rPr>
        <w:t xml:space="preserve">5. Assuming Akzo Nobel borrows £100 mil on UK market for ten years in the form of bonds (floating coupon currently at 2%). How should Akzo Nobel manage interest rate risk? </w:t>
      </w:r>
    </w:p>
    <w:p w14:paraId="44782C7C" w14:textId="77777777" w:rsidR="0001267C" w:rsidRDefault="0001267C" w:rsidP="0001267C">
      <w:pPr>
        <w:snapToGrid w:val="0"/>
        <w:jc w:val="right"/>
        <w:rPr>
          <w:rFonts w:eastAsia="Arial" w:cs="Arial"/>
          <w:bCs/>
          <w:spacing w:val="-1"/>
        </w:rPr>
      </w:pPr>
      <w:r>
        <w:rPr>
          <w:rFonts w:eastAsia="Arial" w:cs="Arial"/>
          <w:bCs/>
          <w:spacing w:val="-1"/>
        </w:rPr>
        <w:t>[15 marks]</w:t>
      </w:r>
    </w:p>
    <w:p w14:paraId="514F6185" w14:textId="77777777" w:rsidR="0001267C" w:rsidRDefault="0001267C" w:rsidP="0001267C">
      <w:pPr>
        <w:snapToGrid w:val="0"/>
        <w:rPr>
          <w:rFonts w:eastAsia="Arial" w:cs="Arial"/>
          <w:bCs/>
          <w:spacing w:val="-1"/>
        </w:rPr>
      </w:pPr>
    </w:p>
    <w:p w14:paraId="6D5D084D" w14:textId="77777777" w:rsidR="0001267C" w:rsidRDefault="0001267C" w:rsidP="0001267C">
      <w:pPr>
        <w:snapToGrid w:val="0"/>
        <w:rPr>
          <w:rFonts w:eastAsia="Arial" w:cs="Arial"/>
          <w:bCs/>
          <w:spacing w:val="-1"/>
        </w:rPr>
      </w:pPr>
      <w:r>
        <w:rPr>
          <w:rFonts w:eastAsia="Arial" w:cs="Arial"/>
          <w:bCs/>
          <w:spacing w:val="-1"/>
        </w:rPr>
        <w:t>6. UK branch of Akzo Nobel operates in pounds; however, company headquarters are in the Netherlands. What FX risks does the company face? How should Akzo Nobel hedge their FX risk?</w:t>
      </w:r>
    </w:p>
    <w:p w14:paraId="25145BC6" w14:textId="77777777" w:rsidR="0001267C" w:rsidRDefault="0001267C" w:rsidP="0001267C">
      <w:pPr>
        <w:snapToGrid w:val="0"/>
        <w:jc w:val="right"/>
        <w:rPr>
          <w:rFonts w:eastAsia="Arial" w:cs="Arial"/>
          <w:bCs/>
          <w:spacing w:val="-1"/>
        </w:rPr>
      </w:pPr>
      <w:r>
        <w:rPr>
          <w:rFonts w:eastAsia="Arial" w:cs="Arial"/>
          <w:bCs/>
          <w:spacing w:val="-1"/>
        </w:rPr>
        <w:t>[15 marks]</w:t>
      </w:r>
    </w:p>
    <w:p w14:paraId="191180B1" w14:textId="77777777" w:rsidR="0001267C" w:rsidRDefault="0001267C" w:rsidP="0001267C">
      <w:pPr>
        <w:snapToGrid w:val="0"/>
        <w:rPr>
          <w:rFonts w:eastAsia="Arial" w:cs="Arial"/>
          <w:bCs/>
          <w:spacing w:val="-1"/>
        </w:rPr>
      </w:pPr>
    </w:p>
    <w:p w14:paraId="4F82BDE6" w14:textId="77777777" w:rsidR="0001267C" w:rsidRDefault="0001267C" w:rsidP="0001267C">
      <w:pPr>
        <w:snapToGrid w:val="0"/>
        <w:rPr>
          <w:rFonts w:eastAsia="Arial" w:cs="Arial"/>
          <w:bCs/>
          <w:spacing w:val="-1"/>
        </w:rPr>
      </w:pPr>
    </w:p>
    <w:p w14:paraId="65BBF1DA" w14:textId="77777777" w:rsidR="0001267C" w:rsidRDefault="0001267C" w:rsidP="0001267C">
      <w:pPr>
        <w:snapToGrid w:val="0"/>
        <w:rPr>
          <w:rFonts w:eastAsia="Arial" w:cs="Arial"/>
          <w:bCs/>
          <w:spacing w:val="-1"/>
        </w:rPr>
      </w:pPr>
      <w:r>
        <w:rPr>
          <w:rFonts w:eastAsia="Arial" w:cs="Arial"/>
          <w:bCs/>
          <w:spacing w:val="-1"/>
        </w:rPr>
        <w:t xml:space="preserve">Additional 10 marks will be allocated for presentation and use of appropriate references. </w:t>
      </w:r>
    </w:p>
    <w:p w14:paraId="763A151A" w14:textId="77777777" w:rsidR="0001267C" w:rsidRDefault="0001267C" w:rsidP="0001267C">
      <w:pPr>
        <w:rPr>
          <w:rFonts w:cs="Arial"/>
          <w:b/>
          <w:color w:val="006600"/>
          <w:sz w:val="26"/>
          <w:szCs w:val="26"/>
        </w:rPr>
      </w:pPr>
    </w:p>
    <w:p w14:paraId="2D488FA4" w14:textId="77777777" w:rsidR="0001267C" w:rsidRDefault="0001267C" w:rsidP="0001267C">
      <w:pPr>
        <w:rPr>
          <w:rFonts w:eastAsia="Arial" w:cs="Arial"/>
          <w:b/>
          <w:bCs/>
          <w:color w:val="006600"/>
          <w:sz w:val="26"/>
          <w:szCs w:val="26"/>
        </w:rPr>
      </w:pPr>
      <w:r>
        <w:rPr>
          <w:b/>
          <w:bCs/>
          <w:color w:val="006600"/>
          <w:sz w:val="26"/>
          <w:szCs w:val="26"/>
        </w:rPr>
        <w:t>How will your work be assessed?</w:t>
      </w:r>
    </w:p>
    <w:p w14:paraId="53BB5088" w14:textId="77777777" w:rsidR="0001267C" w:rsidRDefault="0001267C" w:rsidP="0001267C">
      <w:pPr>
        <w:rPr>
          <w:rFonts w:cs="Arial"/>
          <w:b/>
          <w:color w:val="006600"/>
          <w:sz w:val="26"/>
          <w:szCs w:val="26"/>
        </w:rPr>
      </w:pPr>
    </w:p>
    <w:p w14:paraId="540D55F6" w14:textId="77777777" w:rsidR="0001267C" w:rsidRDefault="0001267C" w:rsidP="0001267C">
      <w:pPr>
        <w:jc w:val="both"/>
        <w:rPr>
          <w:rFonts w:eastAsia="Arial" w:cs="Arial"/>
          <w:sz w:val="22"/>
          <w:szCs w:val="22"/>
        </w:rPr>
      </w:pPr>
      <w:r>
        <w:rPr>
          <w:sz w:val="22"/>
          <w:szCs w:val="22"/>
        </w:rPr>
        <w:t>Your work will be assessed by a subject expert who will use either the marking criteria provided in the section “Instructions for assessment”</w:t>
      </w:r>
      <w:r>
        <w:rPr>
          <w:rFonts w:eastAsia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or the Marking rubric enclosed in the Appendix, as appropriate for this module. When you access your marked </w:t>
      </w:r>
      <w:proofErr w:type="gramStart"/>
      <w:r>
        <w:rPr>
          <w:sz w:val="22"/>
          <w:szCs w:val="22"/>
        </w:rPr>
        <w:t>work</w:t>
      </w:r>
      <w:proofErr w:type="gramEnd"/>
      <w:r>
        <w:rPr>
          <w:sz w:val="22"/>
          <w:szCs w:val="22"/>
        </w:rPr>
        <w:t xml:space="preserve"> it is important that you reflect on the feedback so that you can use it to improve future assignments.</w:t>
      </w:r>
    </w:p>
    <w:p w14:paraId="1EA78F11" w14:textId="77777777" w:rsidR="0001267C" w:rsidRDefault="0001267C" w:rsidP="0001267C">
      <w:pPr>
        <w:rPr>
          <w:rFonts w:cs="Arial"/>
          <w:b/>
          <w:color w:val="006600"/>
          <w:sz w:val="26"/>
          <w:szCs w:val="26"/>
        </w:rPr>
      </w:pPr>
    </w:p>
    <w:p w14:paraId="1D284AB5" w14:textId="77777777" w:rsidR="0001267C" w:rsidRDefault="0001267C" w:rsidP="0001267C">
      <w:pPr>
        <w:rPr>
          <w:rFonts w:cs="Arial"/>
          <w:b/>
          <w:color w:val="006600"/>
          <w:sz w:val="26"/>
          <w:szCs w:val="26"/>
        </w:rPr>
      </w:pPr>
    </w:p>
    <w:p w14:paraId="2DC6B8D4" w14:textId="77777777" w:rsidR="0001267C" w:rsidRDefault="0001267C" w:rsidP="0001267C">
      <w:pPr>
        <w:rPr>
          <w:rFonts w:eastAsia="Arial" w:cs="Arial"/>
          <w:b/>
          <w:bCs/>
          <w:color w:val="006600"/>
          <w:sz w:val="26"/>
          <w:szCs w:val="26"/>
        </w:rPr>
      </w:pPr>
      <w:r>
        <w:rPr>
          <w:b/>
          <w:bCs/>
          <w:color w:val="006600"/>
          <w:sz w:val="26"/>
          <w:szCs w:val="26"/>
        </w:rPr>
        <w:t>Marking and feedback process</w:t>
      </w:r>
    </w:p>
    <w:p w14:paraId="3BAD63E6" w14:textId="77777777" w:rsidR="0001267C" w:rsidRDefault="0001267C" w:rsidP="0001267C">
      <w:pPr>
        <w:rPr>
          <w:rFonts w:cs="Arial"/>
          <w:b/>
          <w:color w:val="006600"/>
          <w:sz w:val="26"/>
          <w:szCs w:val="26"/>
        </w:rPr>
      </w:pPr>
    </w:p>
    <w:p w14:paraId="05DE41F4" w14:textId="77777777" w:rsidR="0001267C" w:rsidRDefault="0001267C" w:rsidP="0001267C">
      <w:pPr>
        <w:jc w:val="both"/>
        <w:rPr>
          <w:rFonts w:eastAsia="Arial" w:cs="Arial"/>
          <w:sz w:val="22"/>
          <w:szCs w:val="22"/>
        </w:rPr>
      </w:pPr>
      <w:r>
        <w:rPr>
          <w:sz w:val="22"/>
          <w:szCs w:val="22"/>
        </w:rPr>
        <w:t>Between you handing in your work and then receiving your feedback and marks within 20 days, there are a number of quality assurance processes that we go through to ensure that students receive marks which reflects their work. A brief summary is provided below.</w:t>
      </w:r>
    </w:p>
    <w:p w14:paraId="3A94E77C" w14:textId="77777777" w:rsidR="0001267C" w:rsidRDefault="0001267C" w:rsidP="0001267C">
      <w:pPr>
        <w:pStyle w:val="ListParagraph"/>
        <w:numPr>
          <w:ilvl w:val="0"/>
          <w:numId w:val="1"/>
        </w:numPr>
        <w:spacing w:before="220" w:after="0" w:line="240" w:lineRule="auto"/>
        <w:ind w:left="357" w:hanging="35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Step One</w:t>
      </w:r>
      <w:r>
        <w:rPr>
          <w:rFonts w:ascii="Arial" w:eastAsia="Arial" w:hAnsi="Arial" w:cs="Arial"/>
        </w:rPr>
        <w:t xml:space="preserve"> – The module and marking team meet to agree standards, expectations and how feedback will be provided.</w:t>
      </w:r>
    </w:p>
    <w:p w14:paraId="7D816293" w14:textId="77777777" w:rsidR="0001267C" w:rsidRDefault="0001267C" w:rsidP="0001267C">
      <w:pPr>
        <w:pStyle w:val="ListParagraph"/>
        <w:numPr>
          <w:ilvl w:val="0"/>
          <w:numId w:val="1"/>
        </w:numPr>
        <w:spacing w:before="220" w:after="0" w:line="240" w:lineRule="auto"/>
        <w:ind w:left="357" w:hanging="35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Step Two</w:t>
      </w:r>
      <w:r>
        <w:rPr>
          <w:rFonts w:ascii="Arial" w:eastAsia="Arial" w:hAnsi="Arial" w:cs="Arial"/>
        </w:rPr>
        <w:t xml:space="preserve"> – A subject expert will mark your work using the criteria provided in the assessment brief.</w:t>
      </w:r>
    </w:p>
    <w:p w14:paraId="67AF9C22" w14:textId="77777777" w:rsidR="0001267C" w:rsidRDefault="0001267C" w:rsidP="0001267C">
      <w:pPr>
        <w:pStyle w:val="ListParagraph"/>
        <w:numPr>
          <w:ilvl w:val="0"/>
          <w:numId w:val="1"/>
        </w:numPr>
        <w:spacing w:before="220" w:after="0" w:line="240" w:lineRule="auto"/>
        <w:ind w:left="357" w:hanging="35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Step Three </w:t>
      </w:r>
      <w:r>
        <w:rPr>
          <w:rFonts w:ascii="Arial" w:eastAsia="Arial" w:hAnsi="Arial" w:cs="Arial"/>
        </w:rPr>
        <w:t xml:space="preserve">– A moderation meeting takes place where all members of the teaching and marking team will review the marking of others to confirm whether they agree with the mark and feedback </w:t>
      </w:r>
    </w:p>
    <w:p w14:paraId="5705B292" w14:textId="77777777" w:rsidR="0001267C" w:rsidRDefault="0001267C" w:rsidP="0001267C">
      <w:pPr>
        <w:pStyle w:val="ListParagraph"/>
        <w:numPr>
          <w:ilvl w:val="0"/>
          <w:numId w:val="1"/>
        </w:numPr>
        <w:spacing w:before="220" w:after="0" w:line="240" w:lineRule="auto"/>
        <w:ind w:left="357" w:hanging="35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Step Four</w:t>
      </w:r>
      <w:r>
        <w:rPr>
          <w:rFonts w:ascii="Arial" w:eastAsia="Arial" w:hAnsi="Arial" w:cs="Arial"/>
        </w:rPr>
        <w:t xml:space="preserve"> – Work then goes to an external examiner who will review a sample of work to confirm that the marking between different staff is consistent and fair </w:t>
      </w:r>
    </w:p>
    <w:p w14:paraId="10A06C4D" w14:textId="77777777" w:rsidR="0001267C" w:rsidRDefault="0001267C" w:rsidP="0001267C">
      <w:pPr>
        <w:spacing w:before="220"/>
        <w:rPr>
          <w:rFonts w:eastAsia="Arial" w:cs="Arial"/>
        </w:rPr>
      </w:pPr>
    </w:p>
    <w:p w14:paraId="7567709B" w14:textId="77777777" w:rsidR="0001267C" w:rsidRDefault="0001267C" w:rsidP="0001267C">
      <w:pPr>
        <w:spacing w:before="220"/>
        <w:rPr>
          <w:rFonts w:eastAsia="Arial" w:cs="Arial"/>
        </w:rPr>
      </w:pPr>
    </w:p>
    <w:p w14:paraId="1C57D1B6" w14:textId="77777777" w:rsidR="0001267C" w:rsidRDefault="0001267C" w:rsidP="0001267C">
      <w:pPr>
        <w:spacing w:line="276" w:lineRule="auto"/>
        <w:rPr>
          <w:rFonts w:eastAsia="Arial" w:cs="Arial"/>
        </w:rPr>
        <w:sectPr w:rsidR="0001267C">
          <w:pgSz w:w="11900" w:h="16840"/>
          <w:pgMar w:top="964" w:right="964" w:bottom="964" w:left="964" w:header="708" w:footer="708" w:gutter="0"/>
          <w:cols w:space="720"/>
        </w:sectPr>
      </w:pPr>
    </w:p>
    <w:p w14:paraId="70150011" w14:textId="77777777" w:rsidR="0001267C" w:rsidRDefault="0001267C" w:rsidP="0001267C">
      <w:pPr>
        <w:spacing w:before="220"/>
        <w:rPr>
          <w:rFonts w:eastAsia="Arial" w:cs="Arial"/>
        </w:rPr>
      </w:pPr>
    </w:p>
    <w:p w14:paraId="2BA42662" w14:textId="77777777" w:rsidR="00773392" w:rsidRDefault="00773392"/>
    <w:sectPr w:rsidR="00773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175"/>
    <w:multiLevelType w:val="hybridMultilevel"/>
    <w:tmpl w:val="F0800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4142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7C"/>
    <w:rsid w:val="0001267C"/>
    <w:rsid w:val="0077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4D81A"/>
  <w15:chartTrackingRefBased/>
  <w15:docId w15:val="{AE1B6FCB-D77A-4721-AC06-F050F1AD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6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26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26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2022-05-03T09:49:00Z</dcterms:created>
  <dcterms:modified xsi:type="dcterms:W3CDTF">2022-05-03T09:50:00Z</dcterms:modified>
</cp:coreProperties>
</file>