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8A6A" w14:textId="1439F356" w:rsidR="00B9550C" w:rsidRDefault="005B710C">
      <w:r>
        <w:rPr>
          <w:rFonts w:ascii="Verdana" w:hAnsi="Verdana"/>
          <w:color w:val="000000"/>
          <w:sz w:val="17"/>
          <w:szCs w:val="17"/>
          <w:shd w:val="clear" w:color="auto" w:fill="FFFFFF"/>
        </w:rPr>
        <w:t xml:space="preserve">39 Articles Class Assignments Rev. Dr. Charles Erlandson Required Reading (read these 2 books in their entirety): Browne, Harold. An Exposition of the Thirty-Nine Articles of Religion. Packer, J.I. and Beckwith, R.T. The Thirty-Nine Articles: Their Place and Use Today. Required papers 1. 4-page paper comparing and contrasting what Browne has to say with what another commentary has to say (for example, Griffith Thomas; Bicknell; Burnett, </w:t>
      </w:r>
      <w:proofErr w:type="spellStart"/>
      <w:r>
        <w:rPr>
          <w:rFonts w:ascii="Verdana" w:hAnsi="Verdana"/>
          <w:color w:val="000000"/>
          <w:sz w:val="17"/>
          <w:szCs w:val="17"/>
          <w:shd w:val="clear" w:color="auto" w:fill="FFFFFF"/>
        </w:rPr>
        <w:t>Boultbee</w:t>
      </w:r>
      <w:proofErr w:type="spellEnd"/>
      <w:r>
        <w:rPr>
          <w:rFonts w:ascii="Verdana" w:hAnsi="Verdana"/>
          <w:color w:val="000000"/>
          <w:sz w:val="17"/>
          <w:szCs w:val="17"/>
          <w:shd w:val="clear" w:color="auto" w:fill="FFFFFF"/>
        </w:rPr>
        <w:t xml:space="preserve">, or Litton) on Article 9, 11, 17, or 19. Focus on the range of interpretations – don’t get bogged down in Scriptural or historical support. If you do not choose one of the commentaries listed above, you will need to clear it with me first. 2. 4-page paper comparing and contrasting what Browne has to say with what another commentary has to say (for example, Griffith Thomas, Bicknell, Burnett, </w:t>
      </w:r>
      <w:proofErr w:type="spellStart"/>
      <w:r>
        <w:rPr>
          <w:rFonts w:ascii="Verdana" w:hAnsi="Verdana"/>
          <w:color w:val="000000"/>
          <w:sz w:val="17"/>
          <w:szCs w:val="17"/>
          <w:shd w:val="clear" w:color="auto" w:fill="FFFFFF"/>
        </w:rPr>
        <w:t>Boultbee</w:t>
      </w:r>
      <w:proofErr w:type="spellEnd"/>
      <w:r>
        <w:rPr>
          <w:rFonts w:ascii="Verdana" w:hAnsi="Verdana"/>
          <w:color w:val="000000"/>
          <w:sz w:val="17"/>
          <w:szCs w:val="17"/>
          <w:shd w:val="clear" w:color="auto" w:fill="FFFFFF"/>
        </w:rPr>
        <w:t xml:space="preserve">, or Litton) on Article 25, 27, or 28. 3. Final Paper – Write a </w:t>
      </w:r>
      <w:proofErr w:type="gramStart"/>
      <w:r>
        <w:rPr>
          <w:rFonts w:ascii="Verdana" w:hAnsi="Verdana"/>
          <w:color w:val="000000"/>
          <w:sz w:val="17"/>
          <w:szCs w:val="17"/>
          <w:shd w:val="clear" w:color="auto" w:fill="FFFFFF"/>
        </w:rPr>
        <w:t>15-20 page</w:t>
      </w:r>
      <w:proofErr w:type="gramEnd"/>
      <w:r>
        <w:rPr>
          <w:rFonts w:ascii="Verdana" w:hAnsi="Verdana"/>
          <w:color w:val="000000"/>
          <w:sz w:val="17"/>
          <w:szCs w:val="17"/>
          <w:shd w:val="clear" w:color="auto" w:fill="FFFFFF"/>
        </w:rPr>
        <w:t xml:space="preserve"> paper on the following question: “What is the proper role of the Thirty-nine Articles today?” To adequately answer this </w:t>
      </w:r>
      <w:proofErr w:type="gramStart"/>
      <w:r>
        <w:rPr>
          <w:rFonts w:ascii="Verdana" w:hAnsi="Verdana"/>
          <w:color w:val="000000"/>
          <w:sz w:val="17"/>
          <w:szCs w:val="17"/>
          <w:shd w:val="clear" w:color="auto" w:fill="FFFFFF"/>
        </w:rPr>
        <w:t>question</w:t>
      </w:r>
      <w:proofErr w:type="gramEnd"/>
      <w:r>
        <w:rPr>
          <w:rFonts w:ascii="Verdana" w:hAnsi="Verdana"/>
          <w:color w:val="000000"/>
          <w:sz w:val="17"/>
          <w:szCs w:val="17"/>
          <w:shd w:val="clear" w:color="auto" w:fill="FFFFFF"/>
        </w:rPr>
        <w:t xml:space="preserve"> you should examine such related issues as the historical context of the Articles, the variety of interpretations of the Articles and limits on a proper interpretation of them, the authority of the Articles, and challenges to the Articles. In this paper, you must demonstrate that you have interacted with the Other Requirements: 1. Study the order of the Articles of the 39 Articles. You will need to write down the order of the Articles in the presence of a proctor (the priest of your local parish or some other parishioner would be ideal) who can verify that you have written the order of the Articles in their presence without the aid of notes. 2. Send a note stating that you have read the required texts in their entirety and watched all of the videos. Paper 1 = 20% Paper 2 = 20% Final Paper = 55% Memorization of Articles = 5%</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0C"/>
    <w:rsid w:val="005B710C"/>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6338"/>
  <w15:chartTrackingRefBased/>
  <w15:docId w15:val="{3F114FC2-7EE6-4C01-8281-E26F4AD0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2022-05-19T15:58:00Z</dcterms:created>
  <dcterms:modified xsi:type="dcterms:W3CDTF">2022-05-19T15:58:00Z</dcterms:modified>
</cp:coreProperties>
</file>