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3B184" w14:textId="13B84D3E" w:rsidR="00047973" w:rsidRDefault="009218B8">
      <w:r>
        <w:t>CASE STUDY 1) Provide a brief introduction to the history and philosophy of copyright, and explain the concept of copyright (Definition, duration, public domain, authors’ and creations’ eligibility requirements, authorship/ownership only) supporting your explanations by using the core readings and the Act CDPA 1988. 2) Identify all copyrights while referencing the CDPA 1988. 3) To ensure accurate metadata management, identify the UK collecting societies for the rights holders to join, who the IP and recordings should be registered with, and how to obtain ISRC and ISWC codes for the master and publishing rights.</w:t>
      </w:r>
    </w:p>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B8"/>
    <w:rsid w:val="00047973"/>
    <w:rsid w:val="00921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BF2C1"/>
  <w15:chartTrackingRefBased/>
  <w15:docId w15:val="{5D8F0487-FC6F-49AE-8689-B8B5ECA2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2021-03-05T06:44:00Z</dcterms:created>
  <dcterms:modified xsi:type="dcterms:W3CDTF">2021-03-05T06:45:00Z</dcterms:modified>
</cp:coreProperties>
</file>