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D44B1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</w:p>
    <w:p w14:paraId="09011A5D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A5D1005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2F3C4611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3658C122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5F60FB8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lang w:val="en-GB"/>
        </w:rPr>
        <w:t>PROPOSAL: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</w:p>
    <w:p w14:paraId="7BB98C94" w14:textId="77777777" w:rsidR="0049378D" w:rsidRPr="00A55C5C" w:rsidRDefault="0049378D" w:rsidP="0049378D">
      <w:pPr>
        <w:tabs>
          <w:tab w:val="left" w:pos="2953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85300FB" w14:textId="77777777" w:rsidR="0049378D" w:rsidRPr="00A55C5C" w:rsidRDefault="0049378D" w:rsidP="0049378D">
      <w:pPr>
        <w:tabs>
          <w:tab w:val="left" w:pos="2953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359505C" w14:textId="77777777" w:rsidR="0049378D" w:rsidRPr="00A55C5C" w:rsidRDefault="0049378D" w:rsidP="0049378D">
      <w:pPr>
        <w:tabs>
          <w:tab w:val="left" w:pos="2953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88F3821" w14:textId="77777777" w:rsidR="0049378D" w:rsidRPr="00A55C5C" w:rsidRDefault="0049378D" w:rsidP="0049378D">
      <w:pPr>
        <w:tabs>
          <w:tab w:val="left" w:pos="2775"/>
        </w:tabs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  <w:sectPr w:rsidR="0049378D" w:rsidRPr="00A55C5C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29693E94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</w:p>
    <w:p w14:paraId="45927F85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Context</w:t>
      </w:r>
    </w:p>
    <w:p w14:paraId="2032DD4C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investigate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critical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because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determine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business's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growth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sustainability.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emergence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resulted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several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challenges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kinds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across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world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strict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restrictions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social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distancing,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flight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lockdowns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(Nicola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al.,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2020)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Unlike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previous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brought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unprecedented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challenge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within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short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time,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causing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suffer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International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Monetary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predicted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global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3%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2020,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World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Organization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predicted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GDP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drop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32%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2020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(He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al.,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2020)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5A606721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British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automobile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established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1884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Henry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Royce</w:t>
      </w:r>
      <w:sdt>
        <w:sdtPr>
          <w:rPr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id w:val="-479537306"/>
          <w:citation/>
        </w:sdtPr>
        <w:sdtEndPr/>
        <w:sdtContent>
          <w:r w:rsidRPr="00A55C5C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GB"/>
            </w:rPr>
            <w:fldChar w:fldCharType="begin"/>
          </w:r>
          <w:r w:rsidRPr="00A55C5C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GB"/>
            </w:rPr>
            <w:instrText xml:space="preserve">CITATION Rol \l 1033 </w:instrText>
          </w:r>
          <w:r w:rsidRPr="00A55C5C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GB"/>
            </w:rPr>
            <w:fldChar w:fldCharType="separate"/>
          </w:r>
          <w:r w:rsidRPr="00A55C5C">
            <w:rPr>
              <w:rFonts w:ascii="Times New Roman" w:hAnsi="Times New Roman" w:cs="Times New Roman"/>
              <w:noProof/>
              <w:sz w:val="24"/>
              <w:szCs w:val="24"/>
              <w:shd w:val="clear" w:color="auto" w:fill="FFFFFF"/>
              <w:lang w:val="en-GB"/>
            </w:rPr>
            <w:t xml:space="preserve"> (Rolls-Royce, 2021)</w:t>
          </w:r>
          <w:r w:rsidRPr="00A55C5C">
            <w:rPr>
              <w:rFonts w:ascii="Times New Roman" w:hAnsi="Times New Roman" w:cs="Times New Roman"/>
              <w:sz w:val="24"/>
              <w:szCs w:val="24"/>
              <w:shd w:val="clear" w:color="auto" w:fill="FFFFFF"/>
              <w:lang w:val="en-GB"/>
            </w:rPr>
            <w:fldChar w:fldCharType="end"/>
          </w:r>
        </w:sdtContent>
      </w:sdt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deals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variety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products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services,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including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civil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aerospace,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defence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system,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nuclear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digital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academy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Rolls-Royce,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2021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Reuters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expecting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raise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about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$6.5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billion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rebuild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balance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sheet,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out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which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about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$3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billion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collected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shareholders.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forced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close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syndicates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travel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imposed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different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countries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across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world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(Rolls-Royce,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2021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3F613182" w14:textId="77777777" w:rsidR="0049378D" w:rsidRPr="00A55C5C" w:rsidRDefault="0049378D" w:rsidP="0049378D">
      <w:pPr>
        <w:tabs>
          <w:tab w:val="left" w:pos="5432"/>
        </w:tabs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Purpose</w:t>
      </w:r>
    </w:p>
    <w:p w14:paraId="0EB51DDF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investigate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price.</w:t>
      </w:r>
    </w:p>
    <w:p w14:paraId="5547BF17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lastRenderedPageBreak/>
        <w:t>Scope</w:t>
      </w:r>
    </w:p>
    <w:p w14:paraId="3C7AAF58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investigate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particularly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examine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statistically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achieve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previous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performances.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also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identify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explain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effect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Further,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investigate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techniques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measure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changes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rationale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49A5A294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Question</w:t>
      </w:r>
    </w:p>
    <w:p w14:paraId="725AD8E9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statistically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price?</w:t>
      </w:r>
    </w:p>
    <w:p w14:paraId="224057FC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Hypotheses</w:t>
      </w:r>
    </w:p>
    <w:p w14:paraId="197C2369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Null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hypothesis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(H0):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statistically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price.</w:t>
      </w:r>
    </w:p>
    <w:p w14:paraId="4A6723D9" w14:textId="52901B48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Alternative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hypothesis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(H1):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statistically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relationship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between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price.</w:t>
      </w:r>
    </w:p>
    <w:p w14:paraId="71D71837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rPr>
          <w:i/>
          <w:color w:val="0E101A"/>
          <w:lang w:val="en-GB"/>
        </w:rPr>
      </w:pPr>
      <w:r w:rsidRPr="00A55C5C">
        <w:rPr>
          <w:i/>
          <w:color w:val="0E101A"/>
          <w:lang w:val="en-GB"/>
        </w:rPr>
        <w:t>Significance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of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the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Study</w:t>
      </w:r>
    </w:p>
    <w:p w14:paraId="63C8F4C2" w14:textId="5C8DFF66" w:rsidR="0049378D" w:rsidRPr="00A55C5C" w:rsidRDefault="0049378D" w:rsidP="0049378D">
      <w:pPr>
        <w:pStyle w:val="NormalWeb"/>
        <w:spacing w:before="0" w:beforeAutospacing="0" w:after="0" w:afterAutospacing="0" w:line="480" w:lineRule="auto"/>
        <w:ind w:firstLine="720"/>
        <w:rPr>
          <w:color w:val="0E101A"/>
          <w:lang w:val="en-GB"/>
        </w:rPr>
      </w:pP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valuable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addition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body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literature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topic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given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that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limited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studies.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also 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useful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identifying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appropriate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models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measure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impact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coronavirus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firm.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Further,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conducting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enable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Rolls-Royce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company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convince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its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shareholders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provide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financial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support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revive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business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justify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financial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strategies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taken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board.</w:t>
      </w:r>
    </w:p>
    <w:p w14:paraId="2F629D34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rPr>
          <w:i/>
          <w:color w:val="0E101A"/>
          <w:lang w:val="en-GB"/>
        </w:rPr>
      </w:pPr>
      <w:r w:rsidRPr="00A55C5C">
        <w:rPr>
          <w:rStyle w:val="Strong"/>
          <w:b w:val="0"/>
          <w:i/>
          <w:color w:val="0E101A"/>
          <w:lang w:val="en-GB"/>
        </w:rPr>
        <w:lastRenderedPageBreak/>
        <w:t>Overview</w:t>
      </w:r>
      <w:r>
        <w:rPr>
          <w:rStyle w:val="Strong"/>
          <w:b w:val="0"/>
          <w:i/>
          <w:color w:val="0E101A"/>
          <w:lang w:val="en-GB"/>
        </w:rPr>
        <w:t xml:space="preserve"> </w:t>
      </w:r>
      <w:r w:rsidRPr="00A55C5C">
        <w:rPr>
          <w:rStyle w:val="Strong"/>
          <w:b w:val="0"/>
          <w:i/>
          <w:color w:val="0E101A"/>
          <w:lang w:val="en-GB"/>
        </w:rPr>
        <w:t>of</w:t>
      </w:r>
      <w:r>
        <w:rPr>
          <w:rStyle w:val="Strong"/>
          <w:b w:val="0"/>
          <w:i/>
          <w:color w:val="0E101A"/>
          <w:lang w:val="en-GB"/>
        </w:rPr>
        <w:t xml:space="preserve"> </w:t>
      </w:r>
      <w:r w:rsidRPr="00A55C5C">
        <w:rPr>
          <w:rStyle w:val="Strong"/>
          <w:b w:val="0"/>
          <w:i/>
          <w:color w:val="0E101A"/>
          <w:lang w:val="en-GB"/>
        </w:rPr>
        <w:t>Project</w:t>
      </w:r>
      <w:r>
        <w:rPr>
          <w:rStyle w:val="Strong"/>
          <w:b w:val="0"/>
          <w:i/>
          <w:color w:val="0E101A"/>
          <w:lang w:val="en-GB"/>
        </w:rPr>
        <w:t xml:space="preserve"> </w:t>
      </w:r>
      <w:r w:rsidRPr="00A55C5C">
        <w:rPr>
          <w:rStyle w:val="Strong"/>
          <w:b w:val="0"/>
          <w:i/>
          <w:color w:val="0E101A"/>
          <w:lang w:val="en-GB"/>
        </w:rPr>
        <w:t>Sections</w:t>
      </w:r>
      <w:r>
        <w:rPr>
          <w:rStyle w:val="Strong"/>
          <w:b w:val="0"/>
          <w:i/>
          <w:color w:val="0E101A"/>
          <w:lang w:val="en-GB"/>
        </w:rPr>
        <w:t xml:space="preserve"> </w:t>
      </w:r>
    </w:p>
    <w:p w14:paraId="7535AEDA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ind w:firstLine="720"/>
        <w:rPr>
          <w:color w:val="0E101A"/>
          <w:lang w:val="en-GB"/>
        </w:rPr>
      </w:pPr>
      <w:r w:rsidRPr="00A55C5C">
        <w:rPr>
          <w:color w:val="0E101A"/>
          <w:lang w:val="en-GB"/>
        </w:rPr>
        <w:t>Chapter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introduction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section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where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background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information,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questions,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significance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project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discussed.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Chapter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2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literature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review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where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previous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studies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synthesized,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gaps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identified.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Chapter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3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methodology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section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where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approach,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design,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population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sample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size,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data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collection,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data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analysis,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ethical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considerations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addressed.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Chapter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4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cover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findings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discussion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results.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Chapter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5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will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detail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study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conclusion,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recommendation,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implications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for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future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based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findings.</w:t>
      </w:r>
    </w:p>
    <w:p w14:paraId="2781CEAB" w14:textId="77777777" w:rsidR="0049378D" w:rsidRPr="00A55C5C" w:rsidRDefault="0049378D" w:rsidP="0049378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br w:type="page"/>
      </w:r>
    </w:p>
    <w:p w14:paraId="39E23822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Literature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Review</w:t>
      </w:r>
    </w:p>
    <w:p w14:paraId="36904B2A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Backer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previous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including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Spanish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Flu.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Previous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left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mild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traces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markets;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uncertainty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created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concern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Backer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further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argued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government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restrictions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imposed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different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countries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service-oriented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leading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Gormsen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Koijen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argued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unprecedented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nature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makes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harder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economists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managers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predict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pandemic's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available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models.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instance,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Gormsen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Koijen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argued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European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U.S.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dropped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30%;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impossible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same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figure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predict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future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outcome.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58A069CA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established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global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significantly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authors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further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argued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suffered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support,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Nicola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(2020)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argued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restrictions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governments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put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place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greatly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stoke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affected,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known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situation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normalize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nature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1D075AED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Multiple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conducted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focused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global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opposed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country-specific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economy.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Currently,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studies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examined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impact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Therefore,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filling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gap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examining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impact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Rolls-Royce.</w:t>
      </w:r>
    </w:p>
    <w:p w14:paraId="3E380932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Research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Gap</w:t>
      </w:r>
    </w:p>
    <w:p w14:paraId="06C58781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ind w:firstLine="720"/>
        <w:rPr>
          <w:color w:val="0E101A"/>
          <w:lang w:val="en-GB"/>
        </w:rPr>
      </w:pPr>
      <w:r w:rsidRPr="00A55C5C">
        <w:rPr>
          <w:color w:val="0E101A"/>
          <w:lang w:val="en-GB"/>
        </w:rPr>
        <w:lastRenderedPageBreak/>
        <w:t>Despite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various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reports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indicating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negative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economic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performance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stock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price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businesses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general,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no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research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has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been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conducted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determine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effect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coronavirus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pandemic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Rolls-Royce.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Considering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diverse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nature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of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this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company,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there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is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need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to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conduct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study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to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determine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relationship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between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coronavirus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and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downfall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of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Rolls-Royce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stock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price.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color w:val="0E101A"/>
          <w:lang w:val="en-GB"/>
        </w:rPr>
        <w:t>Additionally,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unprecedented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nature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of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coronavirus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pandemic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makes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harder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for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economists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and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managers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to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predict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pandemic's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real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impact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on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businesses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using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the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available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t>models.</w:t>
      </w:r>
      <w:r>
        <w:rPr>
          <w:color w:val="0E101A"/>
          <w:lang w:val="en-GB"/>
        </w:rPr>
        <w:t xml:space="preserve"> </w:t>
      </w:r>
      <w:r w:rsidRPr="00A55C5C">
        <w:rPr>
          <w:color w:val="0E101A"/>
          <w:lang w:val="en-GB"/>
        </w:rPr>
        <w:br w:type="page"/>
      </w:r>
    </w:p>
    <w:p w14:paraId="62EC0626" w14:textId="77777777" w:rsidR="0049378D" w:rsidRPr="00A55C5C" w:rsidRDefault="0049378D" w:rsidP="0049378D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Theoretical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Framework</w:t>
      </w:r>
    </w:p>
    <w:p w14:paraId="13B4D90B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Modigliani-Miller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Theory</w:t>
      </w:r>
    </w:p>
    <w:p w14:paraId="1BF72A6E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1958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Modigliani-Miller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certain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expected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flow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Ahmeti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Prenaj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asserts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decides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choose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certain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proportion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debt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equity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operations,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considered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dividing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cash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flows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among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investors.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both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equal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rights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financial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markets;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instance,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power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leverage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takes,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yet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wanted.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Modigliani-Miller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failed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different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circumstances,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which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explains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reasons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alternative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theories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proposed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over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time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Ahmeti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Prenaj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instance,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criticised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failure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separate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firm's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operations.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Despite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criticisms,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Modigliani-Miller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justify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plans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collect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money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shareholders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company's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recovery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because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explains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matters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Ahmeti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Prenaj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</w:p>
    <w:p w14:paraId="7423709C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Tradeoff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</w:p>
    <w:p w14:paraId="0EA408C9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assumes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ensure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interior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solutions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balance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marginal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cost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marginal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benefits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(Murray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Vidhan,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2007)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Further,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supposes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always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evaluate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costs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benefits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determine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performance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develop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alternative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plans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appropriate.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supported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taking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specific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analysing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transaction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costs.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instance,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suggests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adjustments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gradual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abrupt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Murray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Vidhan,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2007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45F1C117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Pecking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Order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Theory</w:t>
      </w:r>
    </w:p>
    <w:p w14:paraId="6689606D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lastRenderedPageBreak/>
        <w:t>Murray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Vidhan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(2007)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note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provides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empirical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facts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considering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capital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structure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starting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point.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must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have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enough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fund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investment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opportunities;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otherwise,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would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financing.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might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also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forced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look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alternative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sources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capital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enough.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Looking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financiers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discount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firm’s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equity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issued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rather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riskless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debt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(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Murray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Vidhan,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GB"/>
        </w:rPr>
        <w:t>2007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3F4523F8" w14:textId="77777777" w:rsidR="0049378D" w:rsidRPr="00A55C5C" w:rsidRDefault="0049378D" w:rsidP="0049378D">
      <w:pPr>
        <w:spacing w:after="0" w:line="480" w:lineRule="auto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Timing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GB"/>
        </w:rPr>
        <w:t xml:space="preserve"> </w:t>
      </w:r>
    </w:p>
    <w:p w14:paraId="5A81A9EC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supposes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time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their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equity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issues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issuing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new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high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repurchasing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when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undervalued.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fluctuations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theory's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limitation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considers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economic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agents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rational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while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considering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factors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market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price.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issue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based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positive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reports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up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suffering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losses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external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shocks,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coronavirus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theory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used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explain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way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makes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decisions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terms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its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shares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such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decisions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affect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business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during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pandemic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error.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</w:p>
    <w:p w14:paraId="3B60B1DB" w14:textId="77777777" w:rsidR="0049378D" w:rsidRPr="00A55C5C" w:rsidRDefault="0049378D" w:rsidP="0049378D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br w:type="page"/>
      </w:r>
    </w:p>
    <w:p w14:paraId="0793E059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  <w:lang w:val="en-GB"/>
        </w:rPr>
      </w:pPr>
      <w:r w:rsidRPr="00A55C5C">
        <w:rPr>
          <w:color w:val="0E101A"/>
          <w:lang w:val="en-GB"/>
        </w:rPr>
        <w:lastRenderedPageBreak/>
        <w:t>Methods</w:t>
      </w:r>
    </w:p>
    <w:p w14:paraId="4F127C3D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rPr>
          <w:i/>
          <w:color w:val="0E101A"/>
          <w:lang w:val="en-GB"/>
        </w:rPr>
      </w:pPr>
      <w:r w:rsidRPr="00A55C5C">
        <w:rPr>
          <w:i/>
          <w:color w:val="0E101A"/>
          <w:lang w:val="en-GB"/>
        </w:rPr>
        <w:t>Research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Approach</w:t>
      </w:r>
    </w:p>
    <w:p w14:paraId="13351C0F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ind w:firstLine="720"/>
        <w:contextualSpacing/>
        <w:rPr>
          <w:shd w:val="clear" w:color="auto" w:fill="FFFFFF"/>
          <w:lang w:val="en-GB"/>
        </w:rPr>
      </w:pP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project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will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utilise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quantitative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research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approach.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approach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is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appropriate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for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this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study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because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it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concerns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testing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of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hypotheses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based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on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numerical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data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(Adams,</w:t>
      </w:r>
      <w:r>
        <w:rPr>
          <w:shd w:val="clear" w:color="auto" w:fill="FFFFFF"/>
          <w:lang w:val="en-GB"/>
        </w:rPr>
        <w:t xml:space="preserve"> and </w:t>
      </w:r>
      <w:r w:rsidRPr="00A55C5C">
        <w:rPr>
          <w:shd w:val="clear" w:color="auto" w:fill="FFFFFF"/>
          <w:lang w:val="en-GB"/>
        </w:rPr>
        <w:t>Lawrence,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2018).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secondary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quantitative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data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for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analysis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will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be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retrieved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from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downfall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of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the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Rolls-Royce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company's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stocks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statistics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from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2018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to</w:t>
      </w:r>
      <w:r>
        <w:rPr>
          <w:shd w:val="clear" w:color="auto" w:fill="FFFFFF"/>
          <w:lang w:val="en-GB"/>
        </w:rPr>
        <w:t xml:space="preserve"> </w:t>
      </w:r>
      <w:r w:rsidRPr="00A55C5C">
        <w:rPr>
          <w:shd w:val="clear" w:color="auto" w:fill="FFFFFF"/>
          <w:lang w:val="en-GB"/>
        </w:rPr>
        <w:t>2021.</w:t>
      </w:r>
      <w:r>
        <w:rPr>
          <w:shd w:val="clear" w:color="auto" w:fill="FFFFFF"/>
          <w:lang w:val="en-GB"/>
        </w:rPr>
        <w:t xml:space="preserve">  </w:t>
      </w:r>
    </w:p>
    <w:p w14:paraId="77823480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rPr>
          <w:i/>
          <w:color w:val="0E101A"/>
          <w:lang w:val="en-GB"/>
        </w:rPr>
      </w:pPr>
      <w:r w:rsidRPr="00A55C5C">
        <w:rPr>
          <w:i/>
          <w:color w:val="0E101A"/>
          <w:lang w:val="en-GB"/>
        </w:rPr>
        <w:t>Data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Analysis</w:t>
      </w:r>
    </w:p>
    <w:p w14:paraId="59251686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After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obtained,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audited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missing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values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organised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excel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file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panel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analysis.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Adams,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Lawrence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(2018),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involves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systematic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application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statistical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logical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techniques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audit,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interpret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evaluate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collected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Panel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study,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given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involves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two-dimensional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panel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Dermofal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Further,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has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been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collected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over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time,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2018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2021,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over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same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variables,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stock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prices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Dermofal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Panel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more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because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measure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detect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statistical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effects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cross-sectional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series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cannot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Dermofal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be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analysed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through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SPSS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v.25,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95%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confidence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interval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p&lt;0.05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significance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levels.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EDDEE9D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rPr>
          <w:i/>
          <w:color w:val="0E101A"/>
          <w:lang w:val="en-GB"/>
        </w:rPr>
      </w:pPr>
      <w:r w:rsidRPr="00A55C5C">
        <w:rPr>
          <w:i/>
          <w:color w:val="0E101A"/>
          <w:lang w:val="en-GB"/>
        </w:rPr>
        <w:t>Ethical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Consideration</w:t>
      </w:r>
    </w:p>
    <w:p w14:paraId="2317F85F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lang w:val="en-GB"/>
        </w:rPr>
        <w:t>Ethical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considerations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critical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research,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according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McKenna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Gray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(2018),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involve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transparency,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anonymity,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safety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obtain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informed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consent.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research,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ethics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intended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ensure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process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suitable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purpose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research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without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any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prejudicial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participants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McKenna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and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Gray,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2018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).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study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utilise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secondary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Downfall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Rolls-Royce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company’s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stocks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statistics;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not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require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informed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consent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participants.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However,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researcher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lastRenderedPageBreak/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ensure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that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valid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appropriate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is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retrieved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for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analysis,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will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remain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confidential.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 xml:space="preserve">  </w:t>
      </w:r>
    </w:p>
    <w:p w14:paraId="69A00763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rPr>
          <w:i/>
          <w:color w:val="0E101A"/>
          <w:lang w:val="en-GB"/>
        </w:rPr>
      </w:pPr>
      <w:r w:rsidRPr="00A55C5C">
        <w:rPr>
          <w:i/>
          <w:color w:val="0E101A"/>
          <w:lang w:val="en-GB"/>
        </w:rPr>
        <w:t>Anticipated</w:t>
      </w:r>
      <w:r>
        <w:rPr>
          <w:i/>
          <w:color w:val="0E101A"/>
          <w:lang w:val="en-GB"/>
        </w:rPr>
        <w:t xml:space="preserve"> </w:t>
      </w:r>
      <w:r w:rsidRPr="00A55C5C">
        <w:rPr>
          <w:i/>
          <w:color w:val="0E101A"/>
          <w:lang w:val="en-GB"/>
        </w:rPr>
        <w:t>Problems</w:t>
      </w:r>
    </w:p>
    <w:p w14:paraId="3B48479E" w14:textId="77777777" w:rsidR="0049378D" w:rsidRPr="00A55C5C" w:rsidRDefault="0049378D" w:rsidP="0049378D">
      <w:pPr>
        <w:spacing w:after="0" w:line="480" w:lineRule="auto"/>
        <w:ind w:firstLine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One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major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anticipated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problems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since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secondary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obtained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analysis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from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company,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difficult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access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dataset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answers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question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explicitly.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is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mainly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because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been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collected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not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specifically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answer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current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research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question.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However,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after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retrieval,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data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will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audited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obtain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specific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variables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required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for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analysis.</w:t>
      </w:r>
      <w:r w:rsidRPr="00A55C5C">
        <w:rPr>
          <w:rFonts w:ascii="Times New Roman" w:hAnsi="Times New Roman" w:cs="Times New Roman"/>
          <w:color w:val="0E101A"/>
          <w:sz w:val="24"/>
          <w:szCs w:val="24"/>
          <w:lang w:val="en-GB"/>
        </w:rPr>
        <w:br w:type="page"/>
      </w:r>
    </w:p>
    <w:p w14:paraId="5EF04C64" w14:textId="77777777" w:rsidR="0049378D" w:rsidRPr="00A55C5C" w:rsidRDefault="0049378D" w:rsidP="0049378D">
      <w:pPr>
        <w:pStyle w:val="NormalWeb"/>
        <w:spacing w:before="0" w:beforeAutospacing="0" w:after="0" w:afterAutospacing="0" w:line="480" w:lineRule="auto"/>
        <w:contextualSpacing/>
        <w:jc w:val="center"/>
        <w:rPr>
          <w:color w:val="0E101A"/>
          <w:lang w:val="en-GB"/>
        </w:rPr>
      </w:pPr>
      <w:r w:rsidRPr="00A55C5C">
        <w:rPr>
          <w:color w:val="0E101A"/>
          <w:lang w:val="en-GB"/>
        </w:rPr>
        <w:lastRenderedPageBreak/>
        <w:t>References</w:t>
      </w:r>
    </w:p>
    <w:p w14:paraId="43AF89EB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Adams,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K.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and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Lawrence,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K.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2018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Research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methods,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statistics,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applications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Thousand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Oaks,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Sage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Publications.</w:t>
      </w:r>
    </w:p>
    <w:p w14:paraId="404AE44C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Ahmeti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Prenaj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B.,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critical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review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Modigliani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Miller’s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theorem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capital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structure.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International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Journal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of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Economics,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Commerce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Management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(IJECM)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GB"/>
        </w:rPr>
        <w:t>3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(6).</w:t>
      </w:r>
    </w:p>
    <w:p w14:paraId="14250EFB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Backer,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S.R.,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Bloom,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N.,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Davis,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S.J.,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Kost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K.J.,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Sammon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M.C.,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Viratvosin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2020.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unprecedented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stock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market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impact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COVID-19.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National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Bureau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Economic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Research.</w:t>
      </w:r>
    </w:p>
    <w:p w14:paraId="6CBC5EB7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</w:pPr>
      <w:proofErr w:type="spellStart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Dermofal</w:t>
      </w:r>
      <w:proofErr w:type="spellEnd"/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D.,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2015.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Time-series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cross-sectional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and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panel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data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models.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Spat.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Anal.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Soc.</w:t>
      </w:r>
      <w:r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val="en-GB"/>
        </w:rPr>
        <w:t>Sci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b/>
          <w:iCs/>
          <w:color w:val="222222"/>
          <w:sz w:val="24"/>
          <w:szCs w:val="24"/>
          <w:shd w:val="clear" w:color="auto" w:fill="FFFFFF"/>
          <w:lang w:val="en-GB"/>
        </w:rPr>
        <w:t>32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r w:rsidRPr="00A55C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pp.141-157.</w:t>
      </w:r>
    </w:p>
    <w:p w14:paraId="118A80C7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Gormsen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N.J.,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Koijen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R.S.,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2020.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Coronavirus: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impact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stock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prices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growth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expectations.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Review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Asset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Pricing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Studies,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GB"/>
        </w:rPr>
        <w:t>10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(4),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pp.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574-594.</w:t>
      </w:r>
    </w:p>
    <w:p w14:paraId="097B1429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He,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Sun,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Y.,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Zhang,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Y.,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Li,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2020.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COVID–19’s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impact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stock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prices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across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different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sectors—an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event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study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based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Chinese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stock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market.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Emerging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Markets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Finance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Trade,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GB"/>
        </w:rPr>
        <w:t>56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(10),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pp.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2198-2212.</w:t>
      </w:r>
    </w:p>
    <w:p w14:paraId="51C10F68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McKenna,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L.,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and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Gray,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R.,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2018.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The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importance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of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ethics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in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research</w:t>
      </w:r>
      <w:r>
        <w:rPr>
          <w:rFonts w:ascii="Times New Roman" w:hAnsi="Times New Roman" w:cs="Times New Roman"/>
          <w:sz w:val="24"/>
          <w:szCs w:val="24"/>
          <w:lang w:val="en-GB" w:eastAsia="en-AU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 w:eastAsia="en-AU"/>
        </w:rPr>
        <w:t>publications.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i/>
          <w:sz w:val="24"/>
          <w:szCs w:val="24"/>
          <w:lang w:val="en-GB"/>
        </w:rPr>
        <w:t>Collegian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b/>
          <w:sz w:val="24"/>
          <w:szCs w:val="24"/>
          <w:lang w:val="en-GB"/>
        </w:rPr>
        <w:t>25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pp.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5C5C">
        <w:rPr>
          <w:rFonts w:ascii="Times New Roman" w:hAnsi="Times New Roman" w:cs="Times New Roman"/>
          <w:sz w:val="24"/>
          <w:szCs w:val="24"/>
          <w:lang w:val="en-GB"/>
        </w:rPr>
        <w:t>147–148.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678F08E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Modigliani,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F.,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Miller,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M.H.,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1958.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cost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capital,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corporate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finance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theory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investment.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American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Economic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Review,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GB"/>
        </w:rPr>
        <w:t>48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pp.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261-197.</w:t>
      </w:r>
    </w:p>
    <w:p w14:paraId="18B16762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Murray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Z.F.,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Vidhan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K.G,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2007.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Tradeoff</w:t>
      </w:r>
      <w:proofErr w:type="spellEnd"/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and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pecking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order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theories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debt.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Working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Paper.</w:t>
      </w:r>
    </w:p>
    <w:p w14:paraId="68D7CE60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lastRenderedPageBreak/>
        <w:t>Nicola,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Alsafi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Z.,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Sohrabi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Kerwan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Al-Jabir,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Losifidis</w:t>
      </w:r>
      <w:proofErr w:type="spellEnd"/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Agha,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M.,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and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Agha,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R.,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2020.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socio-economic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implications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the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coronavirus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pandemic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(COVID-19):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review.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International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Journal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of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Surgery,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b/>
          <w:color w:val="0E101A"/>
          <w:sz w:val="24"/>
          <w:szCs w:val="24"/>
          <w:lang w:val="en-GB"/>
        </w:rPr>
        <w:t>78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pp.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185-193.</w:t>
      </w:r>
    </w:p>
    <w:p w14:paraId="3A15266C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Reuters,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2020.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Covid-19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impact: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Rolls-Royce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raising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$6.5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bn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to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survive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cash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crunch.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proofErr w:type="spellStart"/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Livemint</w:t>
      </w:r>
      <w:proofErr w:type="spellEnd"/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.</w:t>
      </w:r>
    </w:p>
    <w:p w14:paraId="586FC623" w14:textId="77777777" w:rsidR="0049378D" w:rsidRPr="00A55C5C" w:rsidRDefault="0049378D" w:rsidP="0049378D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</w:pP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Rolls-Royce,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2021.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>About.</w:t>
      </w:r>
      <w:r>
        <w:rPr>
          <w:rFonts w:ascii="Times New Roman" w:eastAsia="Times New Roman" w:hAnsi="Times New Roman" w:cs="Times New Roman"/>
          <w:i/>
          <w:iCs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[Online]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Available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at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 xml:space="preserve"> </w:t>
      </w:r>
      <w:hyperlink r:id="rId8" w:history="1">
        <w:r w:rsidRPr="00402A28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GB"/>
          </w:rPr>
          <w:t>https://www.rolls-royce.com/about.aspx</w:t>
        </w:r>
      </w:hyperlink>
      <w:r>
        <w:rPr>
          <w:rFonts w:ascii="Times New Roman" w:eastAsia="Times New Roman" w:hAnsi="Times New Roman" w:cs="Times New Roman"/>
          <w:color w:val="0E101A"/>
          <w:sz w:val="24"/>
          <w:szCs w:val="24"/>
          <w:u w:val="single"/>
          <w:lang w:val="en-GB"/>
        </w:rPr>
        <w:t xml:space="preserve"> </w:t>
      </w:r>
      <w:r w:rsidRPr="00A55C5C"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[Accessed 21/02.2021]</w:t>
      </w:r>
      <w:r>
        <w:rPr>
          <w:rFonts w:ascii="Times New Roman" w:eastAsia="Times New Roman" w:hAnsi="Times New Roman" w:cs="Times New Roman"/>
          <w:color w:val="0E101A"/>
          <w:sz w:val="24"/>
          <w:szCs w:val="24"/>
          <w:lang w:val="en-GB"/>
        </w:rPr>
        <w:t>.</w:t>
      </w:r>
    </w:p>
    <w:p w14:paraId="338FE0B5" w14:textId="77777777" w:rsidR="0067248F" w:rsidRDefault="0067248F"/>
    <w:sectPr w:rsidR="0067248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5D984" w14:textId="77777777" w:rsidR="008059F5" w:rsidRDefault="008059F5">
      <w:pPr>
        <w:spacing w:after="0" w:line="240" w:lineRule="auto"/>
      </w:pPr>
      <w:r>
        <w:separator/>
      </w:r>
    </w:p>
  </w:endnote>
  <w:endnote w:type="continuationSeparator" w:id="0">
    <w:p w14:paraId="1A415EAC" w14:textId="77777777" w:rsidR="008059F5" w:rsidRDefault="0080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0761" w14:textId="77777777" w:rsidR="008059F5" w:rsidRDefault="008059F5">
      <w:pPr>
        <w:spacing w:after="0" w:line="240" w:lineRule="auto"/>
      </w:pPr>
      <w:r>
        <w:separator/>
      </w:r>
    </w:p>
  </w:footnote>
  <w:footnote w:type="continuationSeparator" w:id="0">
    <w:p w14:paraId="5A0BB7EF" w14:textId="77777777" w:rsidR="008059F5" w:rsidRDefault="0080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22CD" w14:textId="77777777" w:rsidR="00D93A40" w:rsidRPr="00A57713" w:rsidRDefault="0049378D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57713">
      <w:rPr>
        <w:rFonts w:ascii="Times New Roman" w:hAnsi="Times New Roman" w:cs="Times New Roman"/>
        <w:sz w:val="24"/>
        <w:szCs w:val="24"/>
      </w:rPr>
      <w:t xml:space="preserve">Research Proposal </w:t>
    </w:r>
    <w:sdt>
      <w:sdtPr>
        <w:rPr>
          <w:rFonts w:ascii="Times New Roman" w:hAnsi="Times New Roman" w:cs="Times New Roman"/>
          <w:sz w:val="24"/>
          <w:szCs w:val="24"/>
        </w:rPr>
        <w:id w:val="20275174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577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77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77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77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73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AD7926" w14:textId="77777777" w:rsidR="00634C5A" w:rsidRPr="00015719" w:rsidRDefault="0049378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15719">
          <w:rPr>
            <w:rFonts w:ascii="Times New Roman" w:hAnsi="Times New Roman" w:cs="Times New Roman"/>
            <w:sz w:val="24"/>
            <w:szCs w:val="24"/>
          </w:rPr>
          <w:t xml:space="preserve">Research Proposal </w:t>
        </w:r>
        <w:r w:rsidRPr="000157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157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57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01571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D0D68D1" w14:textId="77777777" w:rsidR="00634C5A" w:rsidRDefault="00805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78D"/>
    <w:rsid w:val="0049378D"/>
    <w:rsid w:val="005B22CE"/>
    <w:rsid w:val="0067248F"/>
    <w:rsid w:val="008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0749E"/>
  <w15:chartTrackingRefBased/>
  <w15:docId w15:val="{C98019D5-1B25-49E0-A113-79D82B2F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8D"/>
  </w:style>
  <w:style w:type="paragraph" w:styleId="Bibliography">
    <w:name w:val="Bibliography"/>
    <w:basedOn w:val="Normal"/>
    <w:next w:val="Normal"/>
    <w:uiPriority w:val="37"/>
    <w:unhideWhenUsed/>
    <w:rsid w:val="0049378D"/>
  </w:style>
  <w:style w:type="character" w:styleId="Emphasis">
    <w:name w:val="Emphasis"/>
    <w:basedOn w:val="DefaultParagraphFont"/>
    <w:uiPriority w:val="20"/>
    <w:qFormat/>
    <w:rsid w:val="0049378D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93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8D"/>
  </w:style>
  <w:style w:type="character" w:styleId="Strong">
    <w:name w:val="Strong"/>
    <w:basedOn w:val="DefaultParagraphFont"/>
    <w:uiPriority w:val="22"/>
    <w:qFormat/>
    <w:rsid w:val="0049378D"/>
    <w:rPr>
      <w:b/>
      <w:bCs/>
    </w:rPr>
  </w:style>
  <w:style w:type="character" w:styleId="Hyperlink">
    <w:name w:val="Hyperlink"/>
    <w:basedOn w:val="DefaultParagraphFont"/>
    <w:uiPriority w:val="99"/>
    <w:unhideWhenUsed/>
    <w:rsid w:val="00493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lls-royce.com/about.asp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Rol</b:Tag>
    <b:SourceType>InternetSite</b:SourceType>
    <b:Guid>{72AF2910-6889-4DE6-AC4E-E09D7378E7CB}</b:Guid>
    <b:Title>About</b:Title>
    <b:Author>
      <b:Author>
        <b:Corporate>Rolls-Royce</b:Corporate>
      </b:Author>
    </b:Author>
    <b:URL>https://www.rolls-royce.com/about.aspx</b:URL>
    <b:Year>2021</b:Year>
    <b:RefOrder>1</b:RefOrder>
  </b:Source>
</b:Sources>
</file>

<file path=customXml/itemProps1.xml><?xml version="1.0" encoding="utf-8"?>
<ds:datastoreItem xmlns:ds="http://schemas.openxmlformats.org/officeDocument/2006/customXml" ds:itemID="{FE68B9F8-D86B-49F7-A966-1CDB92E3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2036</Words>
  <Characters>11606</Characters>
  <DocSecurity>0</DocSecurity>
  <Lines>96</Lines>
  <Paragraphs>27</Paragraphs>
  <ScaleCrop>false</ScaleCrop>
  <Company/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2021-02-22T09:20:00Z</dcterms:created>
  <dcterms:modified xsi:type="dcterms:W3CDTF">2021-02-24T20:54:00Z</dcterms:modified>
</cp:coreProperties>
</file>