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38C7" w14:textId="21F38983" w:rsidR="00047973" w:rsidRDefault="001D6E47">
      <w:r>
        <w:t xml:space="preserve">Description Mouth care in adults in clinical settings in a respiratory ward (O2, </w:t>
      </w:r>
      <w:proofErr w:type="spellStart"/>
      <w:r>
        <w:t>cpap</w:t>
      </w:r>
      <w:proofErr w:type="spellEnd"/>
      <w:r>
        <w:t xml:space="preserve">, </w:t>
      </w:r>
      <w:proofErr w:type="spellStart"/>
      <w:r>
        <w:t>optiflow</w:t>
      </w:r>
      <w:proofErr w:type="spellEnd"/>
      <w:r>
        <w:t xml:space="preserve"> ...)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47"/>
    <w:rsid w:val="00047973"/>
    <w:rsid w:val="001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8162"/>
  <w15:chartTrackingRefBased/>
  <w15:docId w15:val="{B4D217C1-1FB4-4AB6-8157-359809F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2021-02-17T11:11:00Z</dcterms:created>
  <dcterms:modified xsi:type="dcterms:W3CDTF">2021-02-17T11:11:00Z</dcterms:modified>
</cp:coreProperties>
</file>