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9A216" w14:textId="77777777" w:rsidR="007D600E" w:rsidRDefault="007D600E" w:rsidP="007D600E">
      <w:pPr>
        <w:pStyle w:val="NormalWeb"/>
      </w:pPr>
      <w:r>
        <w:t>3.      Provide your scientific opinion on the advantages and disadvantages of bacteriocins and bacteriophages and the fight against AMR. (400 words) Tips for answer given by lecturer (incorporate points into answer): relating to potency, bio-availability, scale up and mass production, selectivity, solubility and ease of delivery, AMR, stability really issues of drug design and production and all aspects of pharmacodynamics and pharmacokinetics need to thought through for this answer can the phages mutate to infect human cells? extra marks for questions such as this to show independent thought and critical analysis, will they work for intracellular bacterial infections such as TB?  </w:t>
      </w:r>
    </w:p>
    <w:p w14:paraId="48627D36" w14:textId="77777777" w:rsidR="00047973" w:rsidRDefault="00047973"/>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0E"/>
    <w:rsid w:val="00047973"/>
    <w:rsid w:val="007D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75E0"/>
  <w15:chartTrackingRefBased/>
  <w15:docId w15:val="{B6D43ACC-0888-48FF-AA7E-3E20BF22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0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2021-02-19T22:37:00Z</dcterms:created>
  <dcterms:modified xsi:type="dcterms:W3CDTF">2021-02-19T22:38:00Z</dcterms:modified>
</cp:coreProperties>
</file>