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EFC44" w14:textId="77777777" w:rsidR="00025FFE" w:rsidRPr="00025FFE" w:rsidRDefault="00025FFE" w:rsidP="00025FFE">
      <w:pPr>
        <w:spacing w:before="100" w:beforeAutospacing="1" w:after="100" w:afterAutospacing="1" w:line="240" w:lineRule="auto"/>
        <w:textAlignment w:val="baseline"/>
        <w:outlineLvl w:val="1"/>
        <w:rPr>
          <w:rFonts w:ascii="Helvetica" w:eastAsia="Times New Roman" w:hAnsi="Helvetica" w:cs="Helvetica"/>
          <w:sz w:val="36"/>
          <w:szCs w:val="36"/>
        </w:rPr>
      </w:pPr>
      <w:bookmarkStart w:id="0" w:name="_GoBack"/>
      <w:r w:rsidRPr="00025FFE">
        <w:rPr>
          <w:rFonts w:ascii="Helvetica" w:eastAsia="Times New Roman" w:hAnsi="Helvetica" w:cs="Helvetica"/>
          <w:sz w:val="36"/>
          <w:szCs w:val="36"/>
        </w:rPr>
        <w:t>Frye v. United States</w:t>
      </w:r>
    </w:p>
    <w:bookmarkEnd w:id="0"/>
    <w:p w14:paraId="19197FDB" w14:textId="77777777" w:rsidR="00025FFE" w:rsidRPr="00025FFE" w:rsidRDefault="00025FFE" w:rsidP="00025FFE">
      <w:pPr>
        <w:spacing w:after="0" w:line="240" w:lineRule="auto"/>
        <w:textAlignment w:val="baseline"/>
        <w:rPr>
          <w:rFonts w:ascii="Helvetica" w:eastAsia="Times New Roman" w:hAnsi="Helvetica" w:cs="Helvetica"/>
          <w:b/>
          <w:bCs/>
          <w:color w:val="333333"/>
          <w:sz w:val="20"/>
          <w:szCs w:val="20"/>
        </w:rPr>
      </w:pPr>
      <w:r w:rsidRPr="00025FFE">
        <w:rPr>
          <w:rFonts w:ascii="Helvetica" w:eastAsia="Times New Roman" w:hAnsi="Helvetica" w:cs="Helvetica"/>
          <w:b/>
          <w:bCs/>
          <w:color w:val="333333"/>
          <w:sz w:val="20"/>
          <w:szCs w:val="20"/>
        </w:rPr>
        <w:t>Authors:</w:t>
      </w:r>
    </w:p>
    <w:p w14:paraId="024AABB6" w14:textId="77777777" w:rsidR="00025FFE" w:rsidRPr="00025FFE" w:rsidRDefault="00025FFE" w:rsidP="00025FFE">
      <w:pPr>
        <w:spacing w:after="0" w:line="240" w:lineRule="auto"/>
        <w:ind w:left="720"/>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 xml:space="preserve">Williams, </w:t>
      </w:r>
      <w:proofErr w:type="spellStart"/>
      <w:r w:rsidRPr="00025FFE">
        <w:rPr>
          <w:rFonts w:ascii="Helvetica" w:eastAsia="Times New Roman" w:hAnsi="Helvetica" w:cs="Helvetica"/>
          <w:color w:val="595959"/>
          <w:sz w:val="20"/>
          <w:szCs w:val="20"/>
        </w:rPr>
        <w:t>LaVerne</w:t>
      </w:r>
      <w:proofErr w:type="spellEnd"/>
      <w:r w:rsidRPr="00025FFE">
        <w:rPr>
          <w:rFonts w:ascii="Helvetica" w:eastAsia="Times New Roman" w:hAnsi="Helvetica" w:cs="Helvetica"/>
          <w:color w:val="595959"/>
          <w:sz w:val="20"/>
          <w:szCs w:val="20"/>
        </w:rPr>
        <w:t xml:space="preserve"> </w:t>
      </w:r>
      <w:proofErr w:type="spellStart"/>
      <w:r w:rsidRPr="00025FFE">
        <w:rPr>
          <w:rFonts w:ascii="Helvetica" w:eastAsia="Times New Roman" w:hAnsi="Helvetica" w:cs="Helvetica"/>
          <w:color w:val="595959"/>
          <w:sz w:val="20"/>
          <w:szCs w:val="20"/>
        </w:rPr>
        <w:t>McQuiller</w:t>
      </w:r>
      <w:proofErr w:type="spellEnd"/>
    </w:p>
    <w:p w14:paraId="05AA0C9C" w14:textId="77777777" w:rsidR="00025FFE" w:rsidRPr="00025FFE" w:rsidRDefault="00025FFE" w:rsidP="00025FFE">
      <w:pPr>
        <w:spacing w:after="0" w:line="240" w:lineRule="auto"/>
        <w:ind w:left="1950"/>
        <w:textAlignment w:val="baseline"/>
        <w:rPr>
          <w:rFonts w:ascii="Helvetica" w:eastAsia="Times New Roman" w:hAnsi="Helvetica" w:cs="Helvetica"/>
          <w:b/>
          <w:bCs/>
          <w:color w:val="333333"/>
          <w:sz w:val="20"/>
          <w:szCs w:val="20"/>
        </w:rPr>
      </w:pPr>
      <w:r w:rsidRPr="00025FFE">
        <w:rPr>
          <w:rFonts w:ascii="Helvetica" w:eastAsia="Times New Roman" w:hAnsi="Helvetica" w:cs="Helvetica"/>
          <w:b/>
          <w:bCs/>
          <w:color w:val="333333"/>
          <w:sz w:val="20"/>
          <w:szCs w:val="20"/>
        </w:rPr>
        <w:t>Source:</w:t>
      </w:r>
    </w:p>
    <w:p w14:paraId="67B26595" w14:textId="77777777" w:rsidR="00025FFE" w:rsidRPr="00025FFE" w:rsidRDefault="00025FFE" w:rsidP="00025FFE">
      <w:pPr>
        <w:spacing w:after="0" w:line="240" w:lineRule="auto"/>
        <w:ind w:left="720"/>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Salem Press Encyclopedia of Science, 2020. 1p.</w:t>
      </w:r>
    </w:p>
    <w:p w14:paraId="41EFFCB5" w14:textId="77777777" w:rsidR="00025FFE" w:rsidRPr="00025FFE" w:rsidRDefault="00025FFE" w:rsidP="00025FFE">
      <w:pPr>
        <w:spacing w:after="0" w:line="240" w:lineRule="auto"/>
        <w:ind w:left="3900"/>
        <w:textAlignment w:val="baseline"/>
        <w:rPr>
          <w:rFonts w:ascii="Helvetica" w:eastAsia="Times New Roman" w:hAnsi="Helvetica" w:cs="Helvetica"/>
          <w:b/>
          <w:bCs/>
          <w:color w:val="333333"/>
          <w:sz w:val="20"/>
          <w:szCs w:val="20"/>
        </w:rPr>
      </w:pPr>
      <w:r w:rsidRPr="00025FFE">
        <w:rPr>
          <w:rFonts w:ascii="Helvetica" w:eastAsia="Times New Roman" w:hAnsi="Helvetica" w:cs="Helvetica"/>
          <w:b/>
          <w:bCs/>
          <w:color w:val="333333"/>
          <w:sz w:val="20"/>
          <w:szCs w:val="20"/>
        </w:rPr>
        <w:t>Document Type:</w:t>
      </w:r>
    </w:p>
    <w:p w14:paraId="2EBE726A" w14:textId="77777777" w:rsidR="00025FFE" w:rsidRPr="00025FFE" w:rsidRDefault="00025FFE" w:rsidP="00025FFE">
      <w:pPr>
        <w:spacing w:after="0" w:line="240" w:lineRule="auto"/>
        <w:ind w:left="720"/>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Article</w:t>
      </w:r>
    </w:p>
    <w:p w14:paraId="5B380AFF" w14:textId="77777777" w:rsidR="00025FFE" w:rsidRPr="00025FFE" w:rsidRDefault="00025FFE" w:rsidP="00025FFE">
      <w:pPr>
        <w:spacing w:after="0" w:line="240" w:lineRule="auto"/>
        <w:ind w:left="5850"/>
        <w:textAlignment w:val="baseline"/>
        <w:rPr>
          <w:rFonts w:ascii="Helvetica" w:eastAsia="Times New Roman" w:hAnsi="Helvetica" w:cs="Helvetica"/>
          <w:b/>
          <w:bCs/>
          <w:color w:val="333333"/>
          <w:sz w:val="20"/>
          <w:szCs w:val="20"/>
        </w:rPr>
      </w:pPr>
      <w:r w:rsidRPr="00025FFE">
        <w:rPr>
          <w:rFonts w:ascii="Helvetica" w:eastAsia="Times New Roman" w:hAnsi="Helvetica" w:cs="Helvetica"/>
          <w:b/>
          <w:bCs/>
          <w:color w:val="333333"/>
          <w:sz w:val="20"/>
          <w:szCs w:val="20"/>
        </w:rPr>
        <w:t>Subject Terms:</w:t>
      </w:r>
    </w:p>
    <w:p w14:paraId="100AC536" w14:textId="77777777" w:rsidR="00025FFE" w:rsidRPr="00025FFE" w:rsidRDefault="00657849" w:rsidP="00025FFE">
      <w:pPr>
        <w:spacing w:after="0" w:line="240" w:lineRule="auto"/>
        <w:ind w:left="720"/>
        <w:textAlignment w:val="baseline"/>
        <w:rPr>
          <w:rFonts w:ascii="Helvetica" w:eastAsia="Times New Roman" w:hAnsi="Helvetica" w:cs="Helvetica"/>
          <w:color w:val="595959"/>
          <w:sz w:val="20"/>
          <w:szCs w:val="20"/>
        </w:rPr>
      </w:pPr>
      <w:hyperlink r:id="rId5" w:tooltip="Search for Frye v. United States (Supreme Court case)" w:history="1">
        <w:r w:rsidR="00025FFE" w:rsidRPr="00025FFE">
          <w:rPr>
            <w:rFonts w:ascii="Helvetica" w:eastAsia="Times New Roman" w:hAnsi="Helvetica" w:cs="Helvetica"/>
            <w:color w:val="005BC6"/>
            <w:sz w:val="20"/>
            <w:szCs w:val="20"/>
            <w:u w:val="single"/>
            <w:bdr w:val="none" w:sz="0" w:space="0" w:color="auto" w:frame="1"/>
          </w:rPr>
          <w:t>Frye v. United States (Supreme Court case)</w:t>
        </w:r>
      </w:hyperlink>
    </w:p>
    <w:p w14:paraId="083C63AA" w14:textId="77777777" w:rsidR="00025FFE" w:rsidRPr="00025FFE" w:rsidRDefault="00025FFE" w:rsidP="00025FFE">
      <w:pPr>
        <w:spacing w:after="0" w:line="240" w:lineRule="auto"/>
        <w:ind w:left="7800"/>
        <w:textAlignment w:val="baseline"/>
        <w:rPr>
          <w:rFonts w:ascii="Helvetica" w:eastAsia="Times New Roman" w:hAnsi="Helvetica" w:cs="Helvetica"/>
          <w:b/>
          <w:bCs/>
          <w:color w:val="333333"/>
          <w:sz w:val="20"/>
          <w:szCs w:val="20"/>
        </w:rPr>
      </w:pPr>
      <w:r w:rsidRPr="00025FFE">
        <w:rPr>
          <w:rFonts w:ascii="Helvetica" w:eastAsia="Times New Roman" w:hAnsi="Helvetica" w:cs="Helvetica"/>
          <w:b/>
          <w:bCs/>
          <w:color w:val="333333"/>
          <w:sz w:val="20"/>
          <w:szCs w:val="20"/>
        </w:rPr>
        <w:t>Abstract:</w:t>
      </w:r>
    </w:p>
    <w:p w14:paraId="0FC82955" w14:textId="77777777" w:rsidR="00025FFE" w:rsidRPr="00025FFE" w:rsidRDefault="00025FFE" w:rsidP="00025FFE">
      <w:pPr>
        <w:spacing w:after="0" w:line="240" w:lineRule="auto"/>
        <w:ind w:left="720"/>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Courts in the United States may employ various standards to determine the admissibility of novel scientific evidence. From 1923 to 1993, the dominant standard for determining admissibility of such evidence at both state and federal levels was the general acceptance test. This standard stems from the seminal case Frye v. United States, in which a federal appeals court held that expert testimony was admissible only if the scientific principle, theory, or discovery on which it was based was “sufficiently established to have gained general acceptance in the particular field in which it belongs.” This standard, known as the Frye standard or general acceptance standard, has frequently been cited in federal and state cases as a test of admissibility of expert scientific testimony, and it became general practice in most courts for almost three-quarters of a century.</w:t>
      </w:r>
    </w:p>
    <w:p w14:paraId="49BB816E" w14:textId="0CE65AAE" w:rsidR="00D744B6" w:rsidRDefault="00D744B6"/>
    <w:p w14:paraId="4BAE45F6" w14:textId="74FEE5E0" w:rsid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b/>
          <w:bCs/>
          <w:color w:val="595959"/>
          <w:sz w:val="20"/>
          <w:szCs w:val="20"/>
          <w:bdr w:val="none" w:sz="0" w:space="0" w:color="auto" w:frame="1"/>
        </w:rPr>
        <w:t>Date:</w:t>
      </w:r>
      <w:r w:rsidRPr="00025FFE">
        <w:rPr>
          <w:rFonts w:ascii="Helvetica" w:eastAsia="Times New Roman" w:hAnsi="Helvetica" w:cs="Helvetica"/>
          <w:color w:val="595959"/>
          <w:sz w:val="20"/>
          <w:szCs w:val="20"/>
        </w:rPr>
        <w:t> Ruling issued on December 3, 1923</w:t>
      </w:r>
    </w:p>
    <w:p w14:paraId="71C5AE0B"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77BEDB16" w14:textId="47B2DCF3" w:rsid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b/>
          <w:bCs/>
          <w:color w:val="595959"/>
          <w:sz w:val="20"/>
          <w:szCs w:val="20"/>
          <w:bdr w:val="none" w:sz="0" w:space="0" w:color="auto" w:frame="1"/>
        </w:rPr>
        <w:t>Court:</w:t>
      </w:r>
      <w:r w:rsidRPr="00025FFE">
        <w:rPr>
          <w:rFonts w:ascii="Helvetica" w:eastAsia="Times New Roman" w:hAnsi="Helvetica" w:cs="Helvetica"/>
          <w:color w:val="595959"/>
          <w:sz w:val="20"/>
          <w:szCs w:val="20"/>
        </w:rPr>
        <w:t> Court of Appeals for the District of Columbia</w:t>
      </w:r>
    </w:p>
    <w:p w14:paraId="33D320FB"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6FE7CA55"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b/>
          <w:bCs/>
          <w:color w:val="595959"/>
          <w:sz w:val="20"/>
          <w:szCs w:val="20"/>
          <w:bdr w:val="none" w:sz="0" w:space="0" w:color="auto" w:frame="1"/>
        </w:rPr>
        <w:t>Significance:</w:t>
      </w:r>
      <w:r w:rsidRPr="00025FFE">
        <w:rPr>
          <w:rFonts w:ascii="Helvetica" w:eastAsia="Times New Roman" w:hAnsi="Helvetica" w:cs="Helvetica"/>
          <w:color w:val="595959"/>
          <w:sz w:val="20"/>
          <w:szCs w:val="20"/>
        </w:rPr>
        <w:t> This appellate ruling held that polygraph results are inadmissible in court. The appeals court also introduced a new standard for the admissibility of new or novel scientific evidence in court, which came to be known as the general acceptance standard.</w:t>
      </w:r>
    </w:p>
    <w:p w14:paraId="2A4A1C16" w14:textId="189877AD" w:rsid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Courts in the United States may employ various standards to determine the admissibility of novel scientific evidence. From 1923 to 1993, the dominant standard for determining admissibility of such evidence at both state and federal levels was the general acceptance test. This standard stems from the seminal case </w:t>
      </w:r>
      <w:r w:rsidRPr="00025FFE">
        <w:rPr>
          <w:rFonts w:ascii="Helvetica" w:eastAsia="Times New Roman" w:hAnsi="Helvetica" w:cs="Helvetica"/>
          <w:i/>
          <w:iCs/>
          <w:color w:val="595959"/>
          <w:sz w:val="20"/>
          <w:szCs w:val="20"/>
          <w:bdr w:val="none" w:sz="0" w:space="0" w:color="auto" w:frame="1"/>
        </w:rPr>
        <w:t>Frye v. United States</w:t>
      </w:r>
      <w:r w:rsidRPr="00025FFE">
        <w:rPr>
          <w:rFonts w:ascii="Helvetica" w:eastAsia="Times New Roman" w:hAnsi="Helvetica" w:cs="Helvetica"/>
          <w:color w:val="595959"/>
          <w:sz w:val="20"/>
          <w:szCs w:val="20"/>
        </w:rPr>
        <w:t>, in which a federal appeals court held that expert testimony was admissible only if the scientific principle, theory, or discovery on which it was based was “sufficiently established to have gained general acceptance in the particular field in which it belongs.” This standard, known as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or general acceptance standard, has frequently been cited in federal and state cases as a test of admissibility of expert scientific testimony, and it became general practice in most courts for almost three-quarters of a century.</w:t>
      </w:r>
    </w:p>
    <w:p w14:paraId="2C33E9A3"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78243F8C" w14:textId="7011CC86" w:rsidR="00025FFE" w:rsidRPr="00025FFE" w:rsidRDefault="00025FFE" w:rsidP="00025FFE">
      <w:pPr>
        <w:spacing w:after="0" w:line="240" w:lineRule="auto"/>
        <w:rPr>
          <w:rFonts w:ascii="Times New Roman" w:eastAsia="Times New Roman" w:hAnsi="Times New Roman" w:cs="Times New Roman"/>
          <w:sz w:val="24"/>
          <w:szCs w:val="24"/>
        </w:rPr>
      </w:pPr>
      <w:r w:rsidRPr="00025FFE">
        <w:rPr>
          <w:rFonts w:ascii="Times New Roman" w:eastAsia="Times New Roman" w:hAnsi="Times New Roman" w:cs="Times New Roman"/>
          <w:noProof/>
          <w:sz w:val="24"/>
          <w:szCs w:val="24"/>
        </w:rPr>
        <w:drawing>
          <wp:inline distT="0" distB="0" distL="0" distR="0" wp14:anchorId="3FE43B83" wp14:editId="31CBDD8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025FFE">
        <w:rPr>
          <w:rFonts w:ascii="Times New Roman" w:eastAsia="Times New Roman" w:hAnsi="Times New Roman" w:cs="Times New Roman"/>
          <w:sz w:val="24"/>
          <w:szCs w:val="24"/>
        </w:rPr>
        <w:t xml:space="preserve">Modern computerized polygraph EPOS-7: a sensor unit with a PC by </w:t>
      </w:r>
      <w:proofErr w:type="spellStart"/>
      <w:r w:rsidRPr="00025FFE">
        <w:rPr>
          <w:rFonts w:ascii="Times New Roman" w:eastAsia="Times New Roman" w:hAnsi="Times New Roman" w:cs="Times New Roman"/>
          <w:sz w:val="24"/>
          <w:szCs w:val="24"/>
        </w:rPr>
        <w:t>DENKernel</w:t>
      </w:r>
      <w:proofErr w:type="spellEnd"/>
      <w:r w:rsidRPr="00025FFE">
        <w:rPr>
          <w:rFonts w:ascii="Times New Roman" w:eastAsia="Times New Roman" w:hAnsi="Times New Roman" w:cs="Times New Roman"/>
          <w:sz w:val="24"/>
          <w:szCs w:val="24"/>
        </w:rPr>
        <w:t xml:space="preserve"> (Own work) [Public domain], via Wikimedia Commons</w:t>
      </w:r>
    </w:p>
    <w:p w14:paraId="5BEE0928" w14:textId="77777777"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p>
    <w:p w14:paraId="21A6C99C" w14:textId="55E232F3"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r w:rsidRPr="00025FFE">
        <w:rPr>
          <w:rFonts w:ascii="Helvetica" w:eastAsia="Times New Roman" w:hAnsi="Helvetica" w:cs="Helvetica"/>
          <w:b/>
          <w:bCs/>
          <w:color w:val="595959"/>
          <w:sz w:val="20"/>
          <w:szCs w:val="20"/>
          <w:bdr w:val="none" w:sz="0" w:space="0" w:color="auto" w:frame="1"/>
        </w:rPr>
        <w:lastRenderedPageBreak/>
        <w:t>Background of the Case and </w:t>
      </w:r>
      <w:r w:rsidRPr="00025FFE">
        <w:rPr>
          <w:rFonts w:ascii="Helvetica" w:eastAsia="Times New Roman" w:hAnsi="Helvetica" w:cs="Helvetica"/>
          <w:b/>
          <w:bCs/>
          <w:i/>
          <w:iCs/>
          <w:color w:val="595959"/>
          <w:sz w:val="20"/>
          <w:szCs w:val="20"/>
          <w:bdr w:val="none" w:sz="0" w:space="0" w:color="auto" w:frame="1"/>
        </w:rPr>
        <w:t>Frye</w:t>
      </w:r>
      <w:r w:rsidRPr="00025FFE">
        <w:rPr>
          <w:rFonts w:ascii="Helvetica" w:eastAsia="Times New Roman" w:hAnsi="Helvetica" w:cs="Helvetica"/>
          <w:b/>
          <w:bCs/>
          <w:color w:val="595959"/>
          <w:sz w:val="20"/>
          <w:szCs w:val="20"/>
          <w:bdr w:val="none" w:sz="0" w:space="0" w:color="auto" w:frame="1"/>
        </w:rPr>
        <w:t> Requirements</w:t>
      </w:r>
    </w:p>
    <w:p w14:paraId="61C971F0"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169120F1" w14:textId="20E8BDAE" w:rsid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concerned the admissibility of a systolic pressure deception test, a precursor of the </w:t>
      </w:r>
      <w:hyperlink r:id="rId7" w:tooltip="polygraph" w:history="1">
        <w:r w:rsidRPr="00025FFE">
          <w:rPr>
            <w:rFonts w:ascii="Helvetica" w:eastAsia="Times New Roman" w:hAnsi="Helvetica" w:cs="Helvetica"/>
            <w:color w:val="005BC6"/>
            <w:sz w:val="20"/>
            <w:szCs w:val="20"/>
            <w:u w:val="single"/>
            <w:bdr w:val="none" w:sz="0" w:space="0" w:color="auto" w:frame="1"/>
          </w:rPr>
          <w:t>polygraph</w:t>
        </w:r>
      </w:hyperlink>
      <w:r w:rsidRPr="00025FFE">
        <w:rPr>
          <w:rFonts w:ascii="Helvetica" w:eastAsia="Times New Roman" w:hAnsi="Helvetica" w:cs="Helvetica"/>
          <w:color w:val="595959"/>
          <w:sz w:val="20"/>
          <w:szCs w:val="20"/>
        </w:rPr>
        <w:t xml:space="preserve">, in a murder case. The Court of Appeals for the District of Columbia considered an appeal based on the failure of the trial court to admit the deception test. Specifically, the trial court precluded the defendant, James </w:t>
      </w:r>
      <w:proofErr w:type="spellStart"/>
      <w:r w:rsidRPr="00025FFE">
        <w:rPr>
          <w:rFonts w:ascii="Helvetica" w:eastAsia="Times New Roman" w:hAnsi="Helvetica" w:cs="Helvetica"/>
          <w:color w:val="595959"/>
          <w:sz w:val="20"/>
          <w:szCs w:val="20"/>
        </w:rPr>
        <w:t>Alphonzo</w:t>
      </w:r>
      <w:proofErr w:type="spellEnd"/>
      <w:r w:rsidRPr="00025FFE">
        <w:rPr>
          <w:rFonts w:ascii="Helvetica" w:eastAsia="Times New Roman" w:hAnsi="Helvetica" w:cs="Helvetica"/>
          <w:color w:val="595959"/>
          <w:sz w:val="20"/>
          <w:szCs w:val="20"/>
        </w:rPr>
        <w:t xml:space="preserve"> Frye, from introducing expert testimony concerning the deception test as well as evidence about his truthfulness through the test. In a unanimous decision, the appeals court concluded that the deception test had not yet gained sufficient general acceptance among physiological and psychological authorities to justify its admission into evidence and upheld Frye’s murder conviction. Hence, under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it is not sufficient that a sole expert, or even several experts, testify to the validity of a particular scientific technique or device. Rather,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imposes a unique hurdle—that is, the technique or device must be generally accepted by the relevant scientific community.</w:t>
      </w:r>
    </w:p>
    <w:p w14:paraId="1BC17BFA"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58A98B07"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conditions the admissibility of expert testimony in court on acceptance of other scientists within the field, although unanimity is not required. In order to meet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novel scientific evidence—which includes techniques, procedures, and principles—must be interpreted by a court as generally accepted by a meaningful segment of the relevant scientific community. In practice, the relevant scientific community often includes professional organizations or a sufficient number of individual experts within a specific field.</w:t>
      </w:r>
    </w:p>
    <w:p w14:paraId="0FF0B8A8" w14:textId="77777777"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p>
    <w:p w14:paraId="7B475E56" w14:textId="4D67533A"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r w:rsidRPr="00025FFE">
        <w:rPr>
          <w:rFonts w:ascii="Helvetica" w:eastAsia="Times New Roman" w:hAnsi="Helvetica" w:cs="Helvetica"/>
          <w:b/>
          <w:bCs/>
          <w:color w:val="595959"/>
          <w:sz w:val="20"/>
          <w:szCs w:val="20"/>
          <w:bdr w:val="none" w:sz="0" w:space="0" w:color="auto" w:frame="1"/>
        </w:rPr>
        <w:t>Issues in Forensic Science</w:t>
      </w:r>
    </w:p>
    <w:p w14:paraId="69FDEC83"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7BFAFE6D"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Since the ruling in </w:t>
      </w:r>
      <w:r w:rsidRPr="00025FFE">
        <w:rPr>
          <w:rFonts w:ascii="Helvetica" w:eastAsia="Times New Roman" w:hAnsi="Helvetica" w:cs="Helvetica"/>
          <w:i/>
          <w:iCs/>
          <w:color w:val="595959"/>
          <w:sz w:val="20"/>
          <w:szCs w:val="20"/>
          <w:bdr w:val="none" w:sz="0" w:space="0" w:color="auto" w:frame="1"/>
        </w:rPr>
        <w:t>Frye v. United States</w:t>
      </w:r>
      <w:r w:rsidRPr="00025FFE">
        <w:rPr>
          <w:rFonts w:ascii="Helvetica" w:eastAsia="Times New Roman" w:hAnsi="Helvetica" w:cs="Helvetica"/>
          <w:color w:val="595959"/>
          <w:sz w:val="20"/>
          <w:szCs w:val="20"/>
        </w:rPr>
        <w:t> in 1923,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has been applied to numerous </w:t>
      </w:r>
      <w:hyperlink r:id="rId8" w:tooltip="forensic science" w:history="1">
        <w:r w:rsidRPr="00025FFE">
          <w:rPr>
            <w:rFonts w:ascii="Helvetica" w:eastAsia="Times New Roman" w:hAnsi="Helvetica" w:cs="Helvetica"/>
            <w:color w:val="005BC6"/>
            <w:sz w:val="20"/>
            <w:szCs w:val="20"/>
            <w:u w:val="single"/>
            <w:bdr w:val="none" w:sz="0" w:space="0" w:color="auto" w:frame="1"/>
          </w:rPr>
          <w:t>forensic science</w:t>
        </w:r>
      </w:hyperlink>
      <w:r w:rsidRPr="00025FFE">
        <w:rPr>
          <w:rFonts w:ascii="Helvetica" w:eastAsia="Times New Roman" w:hAnsi="Helvetica" w:cs="Helvetica"/>
          <w:color w:val="595959"/>
          <w:sz w:val="20"/>
          <w:szCs w:val="20"/>
        </w:rPr>
        <w:t> techniques in both criminal and civil cases, including </w:t>
      </w:r>
      <w:hyperlink r:id="rId9" w:tooltip="DNA (deoxyribonucleic acid) analysis" w:history="1">
        <w:r w:rsidRPr="00025FFE">
          <w:rPr>
            <w:rFonts w:ascii="Helvetica" w:eastAsia="Times New Roman" w:hAnsi="Helvetica" w:cs="Helvetica"/>
            <w:color w:val="005BC6"/>
            <w:sz w:val="20"/>
            <w:szCs w:val="20"/>
            <w:u w:val="single"/>
            <w:bdr w:val="none" w:sz="0" w:space="0" w:color="auto" w:frame="1"/>
          </w:rPr>
          <w:t>DNA (deoxyribonucleic acid) analysis</w:t>
        </w:r>
      </w:hyperlink>
      <w:r w:rsidRPr="00025FFE">
        <w:rPr>
          <w:rFonts w:ascii="Helvetica" w:eastAsia="Times New Roman" w:hAnsi="Helvetica" w:cs="Helvetica"/>
          <w:color w:val="595959"/>
          <w:sz w:val="20"/>
          <w:szCs w:val="20"/>
        </w:rPr>
        <w:t>, human leukocyte antigen (HLA) paternity testing, voiceprint analysis, bite-mark comparison, use of truth serum, use of hypnosis, </w:t>
      </w:r>
      <w:hyperlink r:id="rId10" w:tooltip="hair analysis" w:history="1">
        <w:r w:rsidRPr="00025FFE">
          <w:rPr>
            <w:rFonts w:ascii="Helvetica" w:eastAsia="Times New Roman" w:hAnsi="Helvetica" w:cs="Helvetica"/>
            <w:color w:val="005BC6"/>
            <w:sz w:val="20"/>
            <w:szCs w:val="20"/>
            <w:u w:val="single"/>
            <w:bdr w:val="none" w:sz="0" w:space="0" w:color="auto" w:frame="1"/>
          </w:rPr>
          <w:t>hair analysis</w:t>
        </w:r>
      </w:hyperlink>
      <w:r w:rsidRPr="00025FFE">
        <w:rPr>
          <w:rFonts w:ascii="Helvetica" w:eastAsia="Times New Roman" w:hAnsi="Helvetica" w:cs="Helvetica"/>
          <w:color w:val="595959"/>
          <w:sz w:val="20"/>
          <w:szCs w:val="20"/>
        </w:rPr>
        <w:t>, fingerprint analysis, serological electrophoresis, neutron activation </w:t>
      </w:r>
      <w:hyperlink r:id="rId11" w:tooltip="blood analysis" w:history="1">
        <w:r w:rsidRPr="00025FFE">
          <w:rPr>
            <w:rFonts w:ascii="Helvetica" w:eastAsia="Times New Roman" w:hAnsi="Helvetica" w:cs="Helvetica"/>
            <w:color w:val="005BC6"/>
            <w:sz w:val="20"/>
            <w:szCs w:val="20"/>
            <w:u w:val="single"/>
            <w:bdr w:val="none" w:sz="0" w:space="0" w:color="auto" w:frame="1"/>
          </w:rPr>
          <w:t>blood analysis</w:t>
        </w:r>
      </w:hyperlink>
      <w:r w:rsidRPr="00025FFE">
        <w:rPr>
          <w:rFonts w:ascii="Helvetica" w:eastAsia="Times New Roman" w:hAnsi="Helvetica" w:cs="Helvetica"/>
          <w:color w:val="595959"/>
          <w:sz w:val="20"/>
          <w:szCs w:val="20"/>
        </w:rPr>
        <w:t>, breath tests for blood alcohol, sudden infant death syndrome (SIDS) probability analysis, and analysis of pesticide toxicity and </w:t>
      </w:r>
      <w:hyperlink r:id="rId12" w:tooltip="carcinogens" w:history="1">
        <w:r w:rsidRPr="00025FFE">
          <w:rPr>
            <w:rFonts w:ascii="Helvetica" w:eastAsia="Times New Roman" w:hAnsi="Helvetica" w:cs="Helvetica"/>
            <w:color w:val="005BC6"/>
            <w:sz w:val="20"/>
            <w:szCs w:val="20"/>
            <w:u w:val="single"/>
            <w:bdr w:val="none" w:sz="0" w:space="0" w:color="auto" w:frame="1"/>
          </w:rPr>
          <w:t>carcinogens</w:t>
        </w:r>
      </w:hyperlink>
      <w:r w:rsidRPr="00025FFE">
        <w:rPr>
          <w:rFonts w:ascii="Helvetica" w:eastAsia="Times New Roman" w:hAnsi="Helvetica" w:cs="Helvetica"/>
          <w:color w:val="595959"/>
          <w:sz w:val="20"/>
          <w:szCs w:val="20"/>
        </w:rPr>
        <w:t>.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has also been applied to expert testimony in such areas of social science research as the sociology of racial bias, </w:t>
      </w:r>
      <w:hyperlink r:id="rId13" w:tooltip="drug trafficking" w:history="1">
        <w:r w:rsidRPr="00025FFE">
          <w:rPr>
            <w:rFonts w:ascii="Helvetica" w:eastAsia="Times New Roman" w:hAnsi="Helvetica" w:cs="Helvetica"/>
            <w:color w:val="005BC6"/>
            <w:sz w:val="20"/>
            <w:szCs w:val="20"/>
            <w:u w:val="single"/>
            <w:bdr w:val="none" w:sz="0" w:space="0" w:color="auto" w:frame="1"/>
          </w:rPr>
          <w:t>drug trafficking</w:t>
        </w:r>
      </w:hyperlink>
      <w:r w:rsidRPr="00025FFE">
        <w:rPr>
          <w:rFonts w:ascii="Helvetica" w:eastAsia="Times New Roman" w:hAnsi="Helvetica" w:cs="Helvetica"/>
          <w:color w:val="595959"/>
          <w:sz w:val="20"/>
          <w:szCs w:val="20"/>
        </w:rPr>
        <w:t> practices, eyewitness reliability, rape trauma syndrome, battered woman syndrome, and profile evidence.</w:t>
      </w:r>
    </w:p>
    <w:p w14:paraId="66FF9F18"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With the advent of new scientific techniques and discoveries,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has generated criticism concerning whether it is flexible enough to adapt to novel scientific evidence for which general acceptance has yet to be achieved. In 1993, in the case </w:t>
      </w:r>
      <w:proofErr w:type="spellStart"/>
      <w:r w:rsidR="00657849">
        <w:rPr>
          <w:rFonts w:ascii="Helvetica" w:eastAsia="Times New Roman" w:hAnsi="Helvetica" w:cs="Helvetica"/>
          <w:i/>
          <w:iCs/>
          <w:color w:val="005BC6"/>
          <w:sz w:val="20"/>
          <w:szCs w:val="20"/>
          <w:u w:val="single"/>
          <w:bdr w:val="none" w:sz="0" w:space="0" w:color="auto" w:frame="1"/>
        </w:rPr>
        <w:fldChar w:fldCharType="begin"/>
      </w:r>
      <w:r w:rsidR="00657849">
        <w:rPr>
          <w:rFonts w:ascii="Helvetica" w:eastAsia="Times New Roman" w:hAnsi="Helvetica" w:cs="Helvetica"/>
          <w:i/>
          <w:iCs/>
          <w:color w:val="005BC6"/>
          <w:sz w:val="20"/>
          <w:szCs w:val="20"/>
          <w:u w:val="single"/>
          <w:bdr w:val="none" w:sz="0" w:space="0" w:color="auto" w:frame="1"/>
        </w:rPr>
        <w:instrText xml:space="preserve"> HYPERLINK "https://eds-a-ebscohost-com.lopes.idm.oclc.org/eds/detail/detail?sid=e7642f25-f8c5-466a-b13d-d33a7e02d6d8@sdc-v-sessmgr03&amp;vid=2&amp;db=ers&amp;ss=AN+%2289312108%22&amp;sl=ll" \o "Daubert v. Merrell Dow Pharmaceuticals" </w:instrText>
      </w:r>
      <w:r w:rsidR="00657849">
        <w:rPr>
          <w:rFonts w:ascii="Helvetica" w:eastAsia="Times New Roman" w:hAnsi="Helvetica" w:cs="Helvetica"/>
          <w:i/>
          <w:iCs/>
          <w:color w:val="005BC6"/>
          <w:sz w:val="20"/>
          <w:szCs w:val="20"/>
          <w:u w:val="single"/>
          <w:bdr w:val="none" w:sz="0" w:space="0" w:color="auto" w:frame="1"/>
        </w:rPr>
        <w:fldChar w:fldCharType="separate"/>
      </w:r>
      <w:r w:rsidRPr="00025FFE">
        <w:rPr>
          <w:rFonts w:ascii="Helvetica" w:eastAsia="Times New Roman" w:hAnsi="Helvetica" w:cs="Helvetica"/>
          <w:i/>
          <w:iCs/>
          <w:color w:val="005BC6"/>
          <w:sz w:val="20"/>
          <w:szCs w:val="20"/>
          <w:u w:val="single"/>
          <w:bdr w:val="none" w:sz="0" w:space="0" w:color="auto" w:frame="1"/>
        </w:rPr>
        <w:t>Daubert</w:t>
      </w:r>
      <w:proofErr w:type="spellEnd"/>
      <w:r w:rsidRPr="00025FFE">
        <w:rPr>
          <w:rFonts w:ascii="Helvetica" w:eastAsia="Times New Roman" w:hAnsi="Helvetica" w:cs="Helvetica"/>
          <w:i/>
          <w:iCs/>
          <w:color w:val="005BC6"/>
          <w:sz w:val="20"/>
          <w:szCs w:val="20"/>
          <w:u w:val="single"/>
          <w:bdr w:val="none" w:sz="0" w:space="0" w:color="auto" w:frame="1"/>
        </w:rPr>
        <w:t xml:space="preserve"> v. Merrell Dow Pharmaceuticals</w:t>
      </w:r>
      <w:r w:rsidR="00657849">
        <w:rPr>
          <w:rFonts w:ascii="Helvetica" w:eastAsia="Times New Roman" w:hAnsi="Helvetica" w:cs="Helvetica"/>
          <w:i/>
          <w:iCs/>
          <w:color w:val="005BC6"/>
          <w:sz w:val="20"/>
          <w:szCs w:val="20"/>
          <w:u w:val="single"/>
          <w:bdr w:val="none" w:sz="0" w:space="0" w:color="auto" w:frame="1"/>
        </w:rPr>
        <w:fldChar w:fldCharType="end"/>
      </w:r>
      <w:r w:rsidRPr="00025FFE">
        <w:rPr>
          <w:rFonts w:ascii="Helvetica" w:eastAsia="Times New Roman" w:hAnsi="Helvetica" w:cs="Helvetica"/>
          <w:color w:val="595959"/>
          <w:sz w:val="20"/>
          <w:szCs w:val="20"/>
        </w:rPr>
        <w:t>, the U.S. Supreme court rejected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and modified the standard for the admissibility of expert testimony in federal courts. In </w:t>
      </w:r>
      <w:proofErr w:type="spellStart"/>
      <w:r w:rsidRPr="00025FFE">
        <w:rPr>
          <w:rFonts w:ascii="Helvetica" w:eastAsia="Times New Roman" w:hAnsi="Helvetica" w:cs="Helvetica"/>
          <w:i/>
          <w:iCs/>
          <w:color w:val="595959"/>
          <w:sz w:val="20"/>
          <w:szCs w:val="20"/>
          <w:bdr w:val="none" w:sz="0" w:space="0" w:color="auto" w:frame="1"/>
        </w:rPr>
        <w:t>Daubert</w:t>
      </w:r>
      <w:proofErr w:type="spellEnd"/>
      <w:r w:rsidRPr="00025FFE">
        <w:rPr>
          <w:rFonts w:ascii="Helvetica" w:eastAsia="Times New Roman" w:hAnsi="Helvetica" w:cs="Helvetica"/>
          <w:color w:val="595959"/>
          <w:sz w:val="20"/>
          <w:szCs w:val="20"/>
        </w:rPr>
        <w:t>, the Court held that Congress intended for the Federal Rules of Evidence, specifically Rule 702, to supersede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Rule 702 allows the introduction of scientific, technical, or other specialized knowledge by a qualified expert if such knowledge “will assist the trier of fact to understand the evidence or to determine a fact in issue.” According to the highest court, </w:t>
      </w:r>
      <w:r w:rsidRPr="00025FFE">
        <w:rPr>
          <w:rFonts w:ascii="Helvetica" w:eastAsia="Times New Roman" w:hAnsi="Helvetica" w:cs="Helvetica"/>
          <w:i/>
          <w:iCs/>
          <w:color w:val="595959"/>
          <w:sz w:val="20"/>
          <w:szCs w:val="20"/>
          <w:bdr w:val="none" w:sz="0" w:space="0" w:color="auto" w:frame="1"/>
        </w:rPr>
        <w:t>Frye’s</w:t>
      </w:r>
      <w:r w:rsidRPr="00025FFE">
        <w:rPr>
          <w:rFonts w:ascii="Helvetica" w:eastAsia="Times New Roman" w:hAnsi="Helvetica" w:cs="Helvetica"/>
          <w:color w:val="595959"/>
          <w:sz w:val="20"/>
          <w:szCs w:val="20"/>
        </w:rPr>
        <w:t> general acceptance test was to be only one indicator of reliability. Despite the federal court’s shift in position, the </w:t>
      </w:r>
      <w:r w:rsidRPr="00025FFE">
        <w:rPr>
          <w:rFonts w:ascii="Helvetica" w:eastAsia="Times New Roman" w:hAnsi="Helvetica" w:cs="Helvetica"/>
          <w:i/>
          <w:iCs/>
          <w:color w:val="595959"/>
          <w:sz w:val="20"/>
          <w:szCs w:val="20"/>
          <w:bdr w:val="none" w:sz="0" w:space="0" w:color="auto" w:frame="1"/>
        </w:rPr>
        <w:t>Frye</w:t>
      </w:r>
      <w:r w:rsidRPr="00025FFE">
        <w:rPr>
          <w:rFonts w:ascii="Helvetica" w:eastAsia="Times New Roman" w:hAnsi="Helvetica" w:cs="Helvetica"/>
          <w:color w:val="595959"/>
          <w:sz w:val="20"/>
          <w:szCs w:val="20"/>
        </w:rPr>
        <w:t> standard remains the standard for admission of scientific evidence in a number of state jurisdictions.</w:t>
      </w:r>
    </w:p>
    <w:p w14:paraId="2A3A45E7" w14:textId="77777777"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p>
    <w:p w14:paraId="77875387" w14:textId="6B294B4A" w:rsidR="00025FFE" w:rsidRDefault="00025FFE" w:rsidP="00025FFE">
      <w:pPr>
        <w:spacing w:after="0" w:line="240" w:lineRule="auto"/>
        <w:textAlignment w:val="baseline"/>
        <w:rPr>
          <w:rFonts w:ascii="Helvetica" w:eastAsia="Times New Roman" w:hAnsi="Helvetica" w:cs="Helvetica"/>
          <w:b/>
          <w:bCs/>
          <w:color w:val="595959"/>
          <w:sz w:val="20"/>
          <w:szCs w:val="20"/>
          <w:bdr w:val="none" w:sz="0" w:space="0" w:color="auto" w:frame="1"/>
        </w:rPr>
      </w:pPr>
      <w:r w:rsidRPr="00025FFE">
        <w:rPr>
          <w:rFonts w:ascii="Helvetica" w:eastAsia="Times New Roman" w:hAnsi="Helvetica" w:cs="Helvetica"/>
          <w:b/>
          <w:bCs/>
          <w:color w:val="595959"/>
          <w:sz w:val="20"/>
          <w:szCs w:val="20"/>
          <w:bdr w:val="none" w:sz="0" w:space="0" w:color="auto" w:frame="1"/>
        </w:rPr>
        <w:t>Bibliography</w:t>
      </w:r>
    </w:p>
    <w:p w14:paraId="59960421"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
    <w:p w14:paraId="1D9C4CE5"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roofErr w:type="spellStart"/>
      <w:r w:rsidRPr="00025FFE">
        <w:rPr>
          <w:rFonts w:ascii="Helvetica" w:eastAsia="Times New Roman" w:hAnsi="Helvetica" w:cs="Helvetica"/>
          <w:color w:val="595959"/>
          <w:sz w:val="20"/>
          <w:szCs w:val="20"/>
        </w:rPr>
        <w:t>Faigman</w:t>
      </w:r>
      <w:proofErr w:type="spellEnd"/>
      <w:r w:rsidRPr="00025FFE">
        <w:rPr>
          <w:rFonts w:ascii="Helvetica" w:eastAsia="Times New Roman" w:hAnsi="Helvetica" w:cs="Helvetica"/>
          <w:color w:val="595959"/>
          <w:sz w:val="20"/>
          <w:szCs w:val="20"/>
        </w:rPr>
        <w:t>, David K., David H. Kaye, Michael J. Saks, and Joseph Sanders. </w:t>
      </w:r>
      <w:r w:rsidRPr="00025FFE">
        <w:rPr>
          <w:rFonts w:ascii="Helvetica" w:eastAsia="Times New Roman" w:hAnsi="Helvetica" w:cs="Helvetica"/>
          <w:i/>
          <w:iCs/>
          <w:color w:val="595959"/>
          <w:sz w:val="20"/>
          <w:szCs w:val="20"/>
          <w:bdr w:val="none" w:sz="0" w:space="0" w:color="auto" w:frame="1"/>
        </w:rPr>
        <w:t>Modern Scientific Evidence: The Law and Science of Expert Testimony</w:t>
      </w:r>
      <w:r w:rsidRPr="00025FFE">
        <w:rPr>
          <w:rFonts w:ascii="Helvetica" w:eastAsia="Times New Roman" w:hAnsi="Helvetica" w:cs="Helvetica"/>
          <w:color w:val="595959"/>
          <w:sz w:val="20"/>
          <w:szCs w:val="20"/>
        </w:rPr>
        <w:t>. 4 vols. St. Paul, Minn.: Thomson/West, 2005. Print.</w:t>
      </w:r>
    </w:p>
    <w:p w14:paraId="103EA192"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roofErr w:type="spellStart"/>
      <w:r w:rsidRPr="00025FFE">
        <w:rPr>
          <w:rFonts w:ascii="Helvetica" w:eastAsia="Times New Roman" w:hAnsi="Helvetica" w:cs="Helvetica"/>
          <w:color w:val="595959"/>
          <w:sz w:val="20"/>
          <w:szCs w:val="20"/>
        </w:rPr>
        <w:t>Faigman</w:t>
      </w:r>
      <w:proofErr w:type="spellEnd"/>
      <w:r w:rsidRPr="00025FFE">
        <w:rPr>
          <w:rFonts w:ascii="Helvetica" w:eastAsia="Times New Roman" w:hAnsi="Helvetica" w:cs="Helvetica"/>
          <w:color w:val="595959"/>
          <w:sz w:val="20"/>
          <w:szCs w:val="20"/>
        </w:rPr>
        <w:t>, David K., David H. Kaye, Michael J. Saks, and Joseph Sanders</w:t>
      </w:r>
      <w:proofErr w:type="gramStart"/>
      <w:r w:rsidRPr="00025FFE">
        <w:rPr>
          <w:rFonts w:ascii="Helvetica" w:eastAsia="Times New Roman" w:hAnsi="Helvetica" w:cs="Helvetica"/>
          <w:color w:val="595959"/>
          <w:sz w:val="20"/>
          <w:szCs w:val="20"/>
        </w:rPr>
        <w:t>..</w:t>
      </w:r>
      <w:proofErr w:type="gramEnd"/>
      <w:r w:rsidRPr="00025FFE">
        <w:rPr>
          <w:rFonts w:ascii="Helvetica" w:eastAsia="Times New Roman" w:hAnsi="Helvetica" w:cs="Helvetica"/>
          <w:color w:val="595959"/>
          <w:sz w:val="20"/>
          <w:szCs w:val="20"/>
        </w:rPr>
        <w:t> </w:t>
      </w:r>
      <w:r w:rsidRPr="00025FFE">
        <w:rPr>
          <w:rFonts w:ascii="Helvetica" w:eastAsia="Times New Roman" w:hAnsi="Helvetica" w:cs="Helvetica"/>
          <w:i/>
          <w:iCs/>
          <w:color w:val="595959"/>
          <w:sz w:val="20"/>
          <w:szCs w:val="20"/>
          <w:bdr w:val="none" w:sz="0" w:space="0" w:color="auto" w:frame="1"/>
        </w:rPr>
        <w:t>Science and the Law: Forensic Science Issues</w:t>
      </w:r>
      <w:r w:rsidRPr="00025FFE">
        <w:rPr>
          <w:rFonts w:ascii="Helvetica" w:eastAsia="Times New Roman" w:hAnsi="Helvetica" w:cs="Helvetica"/>
          <w:color w:val="595959"/>
          <w:sz w:val="20"/>
          <w:szCs w:val="20"/>
        </w:rPr>
        <w:t>. St. Paul, Minn.: West, 2002. Print.</w:t>
      </w:r>
    </w:p>
    <w:p w14:paraId="4DC9103E"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Golan, Tal. </w:t>
      </w:r>
      <w:r w:rsidRPr="00025FFE">
        <w:rPr>
          <w:rFonts w:ascii="Helvetica" w:eastAsia="Times New Roman" w:hAnsi="Helvetica" w:cs="Helvetica"/>
          <w:i/>
          <w:iCs/>
          <w:color w:val="595959"/>
          <w:sz w:val="20"/>
          <w:szCs w:val="20"/>
          <w:bdr w:val="none" w:sz="0" w:space="0" w:color="auto" w:frame="1"/>
        </w:rPr>
        <w:t>Laws of Men and Laws of Nature: The History of Scientific Expert Testimony in England and America</w:t>
      </w:r>
      <w:r w:rsidRPr="00025FFE">
        <w:rPr>
          <w:rFonts w:ascii="Helvetica" w:eastAsia="Times New Roman" w:hAnsi="Helvetica" w:cs="Helvetica"/>
          <w:color w:val="595959"/>
          <w:sz w:val="20"/>
          <w:szCs w:val="20"/>
        </w:rPr>
        <w:t>. Cambridge, Mass.: Harvard University Press, 2004. Print.</w:t>
      </w:r>
    </w:p>
    <w:p w14:paraId="3580E8D3"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Kiely, Terrence F. </w:t>
      </w:r>
      <w:r w:rsidRPr="00025FFE">
        <w:rPr>
          <w:rFonts w:ascii="Helvetica" w:eastAsia="Times New Roman" w:hAnsi="Helvetica" w:cs="Helvetica"/>
          <w:i/>
          <w:iCs/>
          <w:color w:val="595959"/>
          <w:sz w:val="20"/>
          <w:szCs w:val="20"/>
          <w:bdr w:val="none" w:sz="0" w:space="0" w:color="auto" w:frame="1"/>
        </w:rPr>
        <w:t>Forensic Evidence: Science and the Criminal Law</w:t>
      </w:r>
      <w:r w:rsidRPr="00025FFE">
        <w:rPr>
          <w:rFonts w:ascii="Helvetica" w:eastAsia="Times New Roman" w:hAnsi="Helvetica" w:cs="Helvetica"/>
          <w:color w:val="595959"/>
          <w:sz w:val="20"/>
          <w:szCs w:val="20"/>
        </w:rPr>
        <w:t>. 2d ed. Boca Raton, Fla.: CRC Press, 2006. Print.</w:t>
      </w:r>
    </w:p>
    <w:p w14:paraId="2D70B960"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Lee, Henry C., and Howard A. Harris. </w:t>
      </w:r>
      <w:r w:rsidRPr="00025FFE">
        <w:rPr>
          <w:rFonts w:ascii="Helvetica" w:eastAsia="Times New Roman" w:hAnsi="Helvetica" w:cs="Helvetica"/>
          <w:i/>
          <w:iCs/>
          <w:color w:val="595959"/>
          <w:sz w:val="20"/>
          <w:szCs w:val="20"/>
          <w:bdr w:val="none" w:sz="0" w:space="0" w:color="auto" w:frame="1"/>
        </w:rPr>
        <w:t>Physical Evidence in Forensic Science</w:t>
      </w:r>
      <w:r w:rsidRPr="00025FFE">
        <w:rPr>
          <w:rFonts w:ascii="Helvetica" w:eastAsia="Times New Roman" w:hAnsi="Helvetica" w:cs="Helvetica"/>
          <w:color w:val="595959"/>
          <w:sz w:val="20"/>
          <w:szCs w:val="20"/>
        </w:rPr>
        <w:t>. 2d ed. Tucson, Ariz.: Lawyers &amp; Judges Publishing, 2000. Print.</w:t>
      </w:r>
    </w:p>
    <w:p w14:paraId="58845FBB"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proofErr w:type="spellStart"/>
      <w:r w:rsidRPr="00025FFE">
        <w:rPr>
          <w:rFonts w:ascii="Helvetica" w:eastAsia="Times New Roman" w:hAnsi="Helvetica" w:cs="Helvetica"/>
          <w:color w:val="595959"/>
          <w:sz w:val="20"/>
          <w:szCs w:val="20"/>
        </w:rPr>
        <w:lastRenderedPageBreak/>
        <w:t>Wecht</w:t>
      </w:r>
      <w:proofErr w:type="spellEnd"/>
      <w:r w:rsidRPr="00025FFE">
        <w:rPr>
          <w:rFonts w:ascii="Helvetica" w:eastAsia="Times New Roman" w:hAnsi="Helvetica" w:cs="Helvetica"/>
          <w:color w:val="595959"/>
          <w:sz w:val="20"/>
          <w:szCs w:val="20"/>
        </w:rPr>
        <w:t xml:space="preserve">, Cyril H., and John T. </w:t>
      </w:r>
      <w:proofErr w:type="spellStart"/>
      <w:r w:rsidRPr="00025FFE">
        <w:rPr>
          <w:rFonts w:ascii="Helvetica" w:eastAsia="Times New Roman" w:hAnsi="Helvetica" w:cs="Helvetica"/>
          <w:color w:val="595959"/>
          <w:sz w:val="20"/>
          <w:szCs w:val="20"/>
        </w:rPr>
        <w:t>Rago</w:t>
      </w:r>
      <w:proofErr w:type="spellEnd"/>
      <w:r w:rsidRPr="00025FFE">
        <w:rPr>
          <w:rFonts w:ascii="Helvetica" w:eastAsia="Times New Roman" w:hAnsi="Helvetica" w:cs="Helvetica"/>
          <w:color w:val="595959"/>
          <w:sz w:val="20"/>
          <w:szCs w:val="20"/>
        </w:rPr>
        <w:t>, eds. </w:t>
      </w:r>
      <w:r w:rsidRPr="00025FFE">
        <w:rPr>
          <w:rFonts w:ascii="Helvetica" w:eastAsia="Times New Roman" w:hAnsi="Helvetica" w:cs="Helvetica"/>
          <w:i/>
          <w:iCs/>
          <w:color w:val="595959"/>
          <w:sz w:val="20"/>
          <w:szCs w:val="20"/>
          <w:bdr w:val="none" w:sz="0" w:space="0" w:color="auto" w:frame="1"/>
        </w:rPr>
        <w:t>Forensic Science and Law: Investigative Applications in Criminal, Civil, and Family Justice</w:t>
      </w:r>
      <w:r w:rsidRPr="00025FFE">
        <w:rPr>
          <w:rFonts w:ascii="Helvetica" w:eastAsia="Times New Roman" w:hAnsi="Helvetica" w:cs="Helvetica"/>
          <w:color w:val="595959"/>
          <w:sz w:val="20"/>
          <w:szCs w:val="20"/>
        </w:rPr>
        <w:t>. Boca Raton, Fla.: CRC Press, 2006. Print.</w:t>
      </w:r>
    </w:p>
    <w:p w14:paraId="69596A30" w14:textId="77777777" w:rsidR="00025FFE" w:rsidRPr="00025FFE" w:rsidRDefault="00657849" w:rsidP="00025F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C0D0CBB">
          <v:rect id="_x0000_i1025" style="width:0;height:1.5pt" o:hrstd="t" o:hrnoshade="t" o:hr="t" fillcolor="#333" stroked="f"/>
        </w:pict>
      </w:r>
    </w:p>
    <w:p w14:paraId="264BAACD" w14:textId="77777777" w:rsidR="00025FFE" w:rsidRPr="00025FFE" w:rsidRDefault="00025FFE" w:rsidP="00025FFE">
      <w:pPr>
        <w:spacing w:after="0" w:line="240" w:lineRule="auto"/>
        <w:textAlignment w:val="baseline"/>
        <w:rPr>
          <w:rFonts w:ascii="Helvetica" w:eastAsia="Times New Roman" w:hAnsi="Helvetica" w:cs="Helvetica"/>
          <w:color w:val="595959"/>
          <w:sz w:val="20"/>
          <w:szCs w:val="20"/>
        </w:rPr>
      </w:pPr>
      <w:r w:rsidRPr="00025FFE">
        <w:rPr>
          <w:rFonts w:ascii="Helvetica" w:eastAsia="Times New Roman" w:hAnsi="Helvetica" w:cs="Helvetica"/>
          <w:color w:val="595959"/>
          <w:sz w:val="20"/>
          <w:szCs w:val="20"/>
        </w:rPr>
        <w:t>Copyright of </w:t>
      </w:r>
      <w:r w:rsidRPr="00025FFE">
        <w:rPr>
          <w:rFonts w:ascii="Helvetica" w:eastAsia="Times New Roman" w:hAnsi="Helvetica" w:cs="Helvetica"/>
          <w:b/>
          <w:bCs/>
          <w:color w:val="595959"/>
          <w:sz w:val="20"/>
          <w:szCs w:val="20"/>
          <w:bdr w:val="none" w:sz="0" w:space="0" w:color="auto" w:frame="1"/>
        </w:rPr>
        <w:t>Salem Press Encyclopedia of Science</w:t>
      </w:r>
      <w:r w:rsidRPr="00025FFE">
        <w:rPr>
          <w:rFonts w:ascii="Helvetica" w:eastAsia="Times New Roman" w:hAnsi="Helvetica" w:cs="Helvetica"/>
          <w:color w:val="595959"/>
          <w:sz w:val="20"/>
          <w:szCs w:val="20"/>
        </w:rPr>
        <w:t> is the property of Salem Press. The copyright in an individual article may be maintained by the author in certain cases. Content may not be copied or emailed to multiple sites or posted to a listserv without the copyright holder's express written permission. However, users may print, download, or email articles for individual use.</w:t>
      </w:r>
      <w:r w:rsidRPr="00025FFE">
        <w:rPr>
          <w:rFonts w:ascii="Helvetica" w:eastAsia="Times New Roman" w:hAnsi="Helvetica" w:cs="Helvetica"/>
          <w:b/>
          <w:bCs/>
          <w:color w:val="595959"/>
          <w:sz w:val="20"/>
          <w:szCs w:val="20"/>
          <w:bdr w:val="none" w:sz="0" w:space="0" w:color="auto" w:frame="1"/>
        </w:rPr>
        <w:t> Source: </w:t>
      </w:r>
      <w:r w:rsidRPr="00025FFE">
        <w:rPr>
          <w:rFonts w:ascii="Helvetica" w:eastAsia="Times New Roman" w:hAnsi="Helvetica" w:cs="Helvetica"/>
          <w:color w:val="595959"/>
          <w:sz w:val="20"/>
          <w:szCs w:val="20"/>
          <w:bdr w:val="none" w:sz="0" w:space="0" w:color="auto" w:frame="1"/>
        </w:rPr>
        <w:t>Salem Press Encyclopedia of Science, 2020, 1p</w:t>
      </w:r>
      <w:r w:rsidRPr="00025FFE">
        <w:rPr>
          <w:rFonts w:ascii="Helvetica" w:eastAsia="Times New Roman" w:hAnsi="Helvetica" w:cs="Helvetica"/>
          <w:color w:val="595959"/>
          <w:sz w:val="20"/>
          <w:szCs w:val="20"/>
        </w:rPr>
        <w:br/>
      </w:r>
      <w:r w:rsidRPr="00025FFE">
        <w:rPr>
          <w:rFonts w:ascii="Helvetica" w:eastAsia="Times New Roman" w:hAnsi="Helvetica" w:cs="Helvetica"/>
          <w:b/>
          <w:bCs/>
          <w:color w:val="595959"/>
          <w:sz w:val="20"/>
          <w:szCs w:val="20"/>
          <w:bdr w:val="none" w:sz="0" w:space="0" w:color="auto" w:frame="1"/>
        </w:rPr>
        <w:t>Item: </w:t>
      </w:r>
      <w:r w:rsidRPr="00025FFE">
        <w:rPr>
          <w:rFonts w:ascii="Helvetica" w:eastAsia="Times New Roman" w:hAnsi="Helvetica" w:cs="Helvetica"/>
          <w:color w:val="595959"/>
          <w:sz w:val="20"/>
          <w:szCs w:val="20"/>
          <w:bdr w:val="none" w:sz="0" w:space="0" w:color="auto" w:frame="1"/>
        </w:rPr>
        <w:t>89312189</w:t>
      </w:r>
    </w:p>
    <w:p w14:paraId="7C316C8C" w14:textId="77777777" w:rsidR="00025FFE" w:rsidRDefault="00025FFE"/>
    <w:sectPr w:rsidR="0002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E"/>
    <w:rsid w:val="00025FFE"/>
    <w:rsid w:val="00657849"/>
    <w:rsid w:val="00D7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318E"/>
  <w15:chartTrackingRefBased/>
  <w15:docId w15:val="{7343484D-7CB8-48E0-B972-BC7A41F2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922">
      <w:bodyDiv w:val="1"/>
      <w:marLeft w:val="0"/>
      <w:marRight w:val="0"/>
      <w:marTop w:val="0"/>
      <w:marBottom w:val="0"/>
      <w:divBdr>
        <w:top w:val="none" w:sz="0" w:space="0" w:color="auto"/>
        <w:left w:val="none" w:sz="0" w:space="0" w:color="auto"/>
        <w:bottom w:val="none" w:sz="0" w:space="0" w:color="auto"/>
        <w:right w:val="none" w:sz="0" w:space="0" w:color="auto"/>
      </w:divBdr>
    </w:div>
    <w:div w:id="204679295">
      <w:bodyDiv w:val="1"/>
      <w:marLeft w:val="0"/>
      <w:marRight w:val="0"/>
      <w:marTop w:val="0"/>
      <w:marBottom w:val="0"/>
      <w:divBdr>
        <w:top w:val="none" w:sz="0" w:space="0" w:color="auto"/>
        <w:left w:val="none" w:sz="0" w:space="0" w:color="auto"/>
        <w:bottom w:val="none" w:sz="0" w:space="0" w:color="auto"/>
        <w:right w:val="none" w:sz="0" w:space="0" w:color="auto"/>
      </w:divBdr>
    </w:div>
    <w:div w:id="8048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a-ebscohost-com.lopes.idm.oclc.org/eds/detail/detail?sid=e7642f25-f8c5-466a-b13d-d33a7e02d6d8@sdc-v-sessmgr03&amp;vid=2&amp;db=ers&amp;ss=AN+%2289250460%22&amp;sl=ll" TargetMode="External"/><Relationship Id="rId13" Type="http://schemas.openxmlformats.org/officeDocument/2006/relationships/hyperlink" Target="https://eds-a-ebscohost-com.lopes.idm.oclc.org/eds/detail/detail?sid=e7642f25-f8c5-466a-b13d-d33a7e02d6d8@sdc-v-sessmgr03&amp;vid=2&amp;db=ers&amp;ss=AN+%2289551269%22&amp;sl=ll" TargetMode="External"/><Relationship Id="rId3" Type="http://schemas.openxmlformats.org/officeDocument/2006/relationships/settings" Target="settings.xml"/><Relationship Id="rId7" Type="http://schemas.openxmlformats.org/officeDocument/2006/relationships/hyperlink" Target="https://eds-a-ebscohost-com.lopes.idm.oclc.org/eds/detail/detail?sid=e7642f25-f8c5-466a-b13d-d33a7e02d6d8@sdc-v-sessmgr03&amp;vid=2&amp;db=ers&amp;ss=AN+%2288960896%22&amp;sl=ll" TargetMode="External"/><Relationship Id="rId12" Type="http://schemas.openxmlformats.org/officeDocument/2006/relationships/hyperlink" Target="https://eds-a-ebscohost-com.lopes.idm.oclc.org/eds/detail/detail?sid=e7642f25-f8c5-466a-b13d-d33a7e02d6d8@sdc-v-sessmgr03&amp;vid=2&amp;db=ers&amp;ss=AN+%2289474020%22&amp;sl=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ds-a-ebscohost-com.lopes.idm.oclc.org/eds/detail/detail?sid=e7642f25-f8c5-466a-b13d-d33a7e02d6d8@sdc-v-sessmgr03&amp;vid=2&amp;db=ers&amp;ss=AN+%2287321191%22&amp;sl=ll" TargetMode="External"/><Relationship Id="rId5" Type="http://schemas.openxmlformats.org/officeDocument/2006/relationships/hyperlink" Target="javascript:__doLinkPostBack('','ss~~DE%20%22Frye%20v.%20United%20States%20%28Supreme%20Court%20case%29%22%7C%7Csl~~rl','');" TargetMode="External"/><Relationship Id="rId15" Type="http://schemas.openxmlformats.org/officeDocument/2006/relationships/theme" Target="theme/theme1.xml"/><Relationship Id="rId10" Type="http://schemas.openxmlformats.org/officeDocument/2006/relationships/hyperlink" Target="https://eds-a-ebscohost-com.lopes.idm.oclc.org/eds/detail/detail?sid=e7642f25-f8c5-466a-b13d-d33a7e02d6d8@sdc-v-sessmgr03&amp;vid=2&amp;db=ers&amp;ss=AN+%2289312204%22&amp;sl=ll" TargetMode="External"/><Relationship Id="rId4" Type="http://schemas.openxmlformats.org/officeDocument/2006/relationships/webSettings" Target="webSettings.xml"/><Relationship Id="rId9" Type="http://schemas.openxmlformats.org/officeDocument/2006/relationships/hyperlink" Target="https://eds-a-ebscohost-com.lopes.idm.oclc.org/eds/detail/detail?sid=e7642f25-f8c5-466a-b13d-d33a7e02d6d8@sdc-v-sessmgr03&amp;vid=2&amp;db=ers&amp;ss=AN+%2289312121%22&amp;sl=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5D11-5D85-459E-9857-73E1D857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2021-02-03T06:12:00Z</dcterms:created>
  <dcterms:modified xsi:type="dcterms:W3CDTF">2021-02-03T06:12:00Z</dcterms:modified>
</cp:coreProperties>
</file>